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-455926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RFQ-GIZ-06-2026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«21» травня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 надання послуг з комунікаційної діяльності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tbl>
      <w:tblPr>
        <w:tblStyle w:val="Table1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 з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комунікаційної  діяльності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Загальна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24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25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26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2F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-454657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3C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RFQ-GIZ-06-2026 dated May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provision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 services for communication activities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tbl>
      <w:tblPr>
        <w:tblStyle w:val="Table3"/>
        <w:tblW w:w="942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1290"/>
        <w:gridCol w:w="1440"/>
        <w:gridCol w:w="1530"/>
        <w:gridCol w:w="1320"/>
        <w:tblGridChange w:id="0">
          <w:tblGrid>
            <w:gridCol w:w="3840"/>
            <w:gridCol w:w="1290"/>
            <w:gridCol w:w="1440"/>
            <w:gridCol w:w="1530"/>
            <w:gridCol w:w="13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 per unit, UAH (UAH)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of services for communication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55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56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57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pWR2KTkDbymG5nRxdHgLVr0nw==">CgMxLjA4AHIhMTdBTi00Vi1mOUlvSThxVHFDcERfN1lvSXlGN0JJQW5G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