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-455926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RFQ-GIZ-05-2026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«21» травня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 надання юридичних послуг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tbl>
      <w:tblPr>
        <w:tblStyle w:val="Table1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з надання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юридичних послуг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Загальна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23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24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25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-457197</wp:posOffset>
            </wp:positionH>
            <wp:positionV relativeFrom="paragraph">
              <wp:posOffset>-454657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3B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RFQ-GIZ-05-2026 dated May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provision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 Legal Services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tbl>
      <w:tblPr>
        <w:tblStyle w:val="Table3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 per unit, UAH (UAH)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Provision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Legal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53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54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55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AXikLkQJJd4bKVFwLIvOYHTyXg==">CgMxLjA4AHIhMWxiUmtYM0Y2c2staUlSNTZHR29qU1pyeE81TGpuWUpn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