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52475" cy="762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Додаток 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Форма технічної пропозиції до Запрошення Громадської організації «ДЕСЯТЕ КВІТНЯ» до участі у тендері                          </w:t>
      </w:r>
      <w:r w:rsidDel="00000000" w:rsidR="00000000" w:rsidRPr="00000000">
        <w:rPr>
          <w:sz w:val="24"/>
          <w:szCs w:val="24"/>
          <w:rtl w:val="0"/>
        </w:rPr>
        <w:t xml:space="preserve">RFP F-12-2026-F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укладення разового договору на проведення ремонтних робіт МТП "Сербівська гімназія" за адресою: пров. Шкільний,                  буд. 1, с. Серби, Подільський район, Одеська область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8uq1nhuhi2yl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2. Форма технічної пропозиції</w:t>
      </w:r>
    </w:p>
    <w:tbl>
      <w:tblPr>
        <w:tblStyle w:val="Table1"/>
        <w:tblW w:w="15451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3"/>
        <w:gridCol w:w="2127"/>
        <w:gridCol w:w="7371"/>
        <w:tblGridChange w:id="0">
          <w:tblGrid>
            <w:gridCol w:w="5953"/>
            <w:gridCol w:w="2127"/>
            <w:gridCol w:w="7371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</w:t>
            </w:r>
          </w:p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2-х років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6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проєктів,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проєктів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bde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bde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Печатка (за наявності): </w:t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sz w:val="4"/>
          <w:szCs w:val="4"/>
        </w:rPr>
      </w:pPr>
      <w:r w:rsidDel="00000000" w:rsidR="00000000" w:rsidRPr="00000000">
        <w:rPr>
          <w:sz w:val="4"/>
          <w:szCs w:val="4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keepNext w:val="1"/>
        <w:keepLines w:val="1"/>
        <w:ind w:left="-850" w:firstLine="566"/>
        <w:jc w:val="both"/>
        <w:rPr>
          <w:sz w:val="16"/>
          <w:szCs w:val="16"/>
        </w:rPr>
      </w:pPr>
      <w:bookmarkStart w:colFirst="0" w:colLast="0" w:name="_heading=h.mwngfsq3ur87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"Сербівська гімназія" за адресою: пров. Шкільний, буд. 1, с. Серби, Подільський район, Одеська область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850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у 2-х санітарно-гігієнічних приміщеннях (санвузлах) з урахуванням вимог доступності для осіб з інвалідністю та маломобільних груп населення загальною площею (S=23,45 м²); </w:t>
      </w:r>
    </w:p>
    <w:p w:rsidR="00000000" w:rsidDel="00000000" w:rsidP="00000000" w:rsidRDefault="00000000" w:rsidRPr="00000000" w14:paraId="0000002F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850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інклюзивних дверей відповідно до вимог чинних державних будівельних норм (ДБН) щодо забезпечення безбар’єрного доступу (14 шт.); </w:t>
      </w:r>
    </w:p>
    <w:p w:rsidR="00000000" w:rsidDel="00000000" w:rsidP="00000000" w:rsidRDefault="00000000" w:rsidRPr="00000000" w14:paraId="00000030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850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поручнів та тактильної навігації в коридорах (м.п.- 60).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5880"/>
        <w:gridCol w:w="1140"/>
        <w:gridCol w:w="1275"/>
        <w:gridCol w:w="1560"/>
        <w:gridCol w:w="1410"/>
        <w:gridCol w:w="1425"/>
        <w:gridCol w:w="1695"/>
        <w:tblGridChange w:id="0">
          <w:tblGrid>
            <w:gridCol w:w="600"/>
            <w:gridCol w:w="5880"/>
            <w:gridCol w:w="1140"/>
            <w:gridCol w:w="1275"/>
            <w:gridCol w:w="1560"/>
            <w:gridCol w:w="1410"/>
            <w:gridCol w:w="1425"/>
            <w:gridCol w:w="1695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bookmarkStart w:colFirst="0" w:colLast="0" w:name="_heading=h.bapwod9vjw8d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  <w:tc>
          <w:tcPr>
            <w:gridSpan w:val="2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Серпень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Вересень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13.07.-31.07.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01.08.-14.08.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15.08.-31.08.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01.09.-20.09.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right="34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Санвузол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Демонтажні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-4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умивальників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-4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-4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-4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штукатурки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Сантехнічні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Пайка труб ПВХ (точка)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умивальника в зборі з змішувачем та сифоном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left="-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Підлога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Заливка стяжки товщ. 100 мм з арм. сіткою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Ґрунтування підлоги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Гідроізоляція підлоги в 2 шари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18,6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Стіни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Ґрунтування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Кладка газоблоку товщ.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Інші роботи СУ1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поручнів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компл.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Розвантаження будматеріалів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Електромонтажні роботи (на 2 санвузла)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розеток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LED світильників 40Вт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Збірка та налаштування щитової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Підключення автоматів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Двері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старих дверних блоків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Розширення та підсилення дверного пройому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дверних мп блоків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внутрішніх (до 50 см шириною)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зовн. (до 50 см шириною)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Ґрунтування та фарбування укосів в 2 шари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Поручні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одинарних (коридор)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Санвузол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Демонтажні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унітаза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умивальників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бойлера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цементної стяжки більше 100мм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Демонтаж штукатурки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24,4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Сантехнічні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Пайка труб ПВХ (точка)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умивальника в зборі з змішувачем та сифоном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Підлога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 100 мм з арм. сіткою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  <w:t xml:space="preserve">Ґрунтування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Гідроізоляція підлоги в 2 шари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Стіни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Ґрунтування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24,4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Інші роботи СУ2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компл.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31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284" w:top="566.9291338582677" w:left="1701" w:right="536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5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rmtfjKIySyI7k1B42gEhEOuj3A==">CgMxLjAyDmguOHVxMW5odWhpMnlsMg5oLjFwNHA3ZDF5Zm5rcTIJaC4xZm9iOXRlMg5oLm13bmdmc3EzdXI4NzIOaC5iYXB3b2Q5dmp3OGQ4AHIhMVlkV19KbUZPbmpNNUZyUlIxR2w0eFJXelVMRXhidThR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