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color w:val="ff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Додаток 1 Форма технічної пропозиції до Запрошення Громадської організації «ДЕСЯТЕ КВІТНЯ» до участі у тендері  RFP 16-2025 на укладання разового договору на поточний ремонт приміщень в учбовому корпусі 1-го поверху Ізмаїльського державного гуманітарного університету м. Ізмаїл.</w:t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Додаток 1 Форма технічної пропозиції</w:t>
      </w:r>
    </w:p>
    <w:tbl>
      <w:tblPr>
        <w:tblStyle w:val="Table1"/>
        <w:tblW w:w="1573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284"/>
        <w:gridCol w:w="8788"/>
        <w:tblGridChange w:id="0">
          <w:tblGrid>
            <w:gridCol w:w="6663"/>
            <w:gridCol w:w="284"/>
            <w:gridCol w:w="878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Повна назва Постачальника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Посилання на фотопортфоліо робіт підтвердженого досвіду (попередній пункт)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Дата подання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Строк дії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П.І.Б. ФОП/уповноваженої особи:________________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Печатка (за наявності): ________________</w:t>
            </w:r>
          </w:p>
        </w:tc>
      </w:tr>
    </w:tbl>
    <w:p w:rsidR="00000000" w:rsidDel="00000000" w:rsidP="00000000" w:rsidRDefault="00000000" w:rsidRPr="00000000" w14:paraId="0000002A">
      <w:pPr>
        <w:spacing w:after="160" w:line="259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Ремонт  приміщень в учбовому корпусі 1-го поверху  ІзмаЇльського державного гуманітарного університету за адресою: м. Ізмаїл,      пр-т Миру 9  (орендодавець – Міністерство освіти і науки України).</w:t>
      </w:r>
    </w:p>
    <w:p w:rsidR="00000000" w:rsidDel="00000000" w:rsidP="00000000" w:rsidRDefault="00000000" w:rsidRPr="00000000" w14:paraId="00000031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Загальна площа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135,75м2 (аудиторія (S= 69м2);  буфет (S= 8м3); гардероб (S= 8,55м3); кабінет (S= 16м3); частково коридор (S= 34,2м2) загальна площа 135,75м2.)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Layout w:type="fixed"/>
        <w:tblLook w:val="0400"/>
      </w:tblPr>
      <w:tblGrid>
        <w:gridCol w:w="750"/>
        <w:gridCol w:w="4202"/>
        <w:gridCol w:w="1134"/>
        <w:gridCol w:w="992"/>
        <w:gridCol w:w="992"/>
        <w:gridCol w:w="709"/>
        <w:gridCol w:w="709"/>
        <w:gridCol w:w="708"/>
        <w:gridCol w:w="709"/>
        <w:gridCol w:w="709"/>
        <w:gridCol w:w="746"/>
        <w:gridCol w:w="810"/>
        <w:gridCol w:w="795"/>
        <w:tblGridChange w:id="0">
          <w:tblGrid>
            <w:gridCol w:w="750"/>
            <w:gridCol w:w="4202"/>
            <w:gridCol w:w="1134"/>
            <w:gridCol w:w="992"/>
            <w:gridCol w:w="992"/>
            <w:gridCol w:w="709"/>
            <w:gridCol w:w="709"/>
            <w:gridCol w:w="708"/>
            <w:gridCol w:w="709"/>
            <w:gridCol w:w="709"/>
            <w:gridCol w:w="746"/>
            <w:gridCol w:w="810"/>
            <w:gridCol w:w="795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№</w:t>
              <w:br w:type="textWrapping"/>
              <w:t xml:space="preserve">п/п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Найменування робіт та витрат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Одиниця</w:t>
              <w:br w:type="textWrapping"/>
              <w:t xml:space="preserve">виміру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Кількість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Вересень 2025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Жовтень 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Листопад 2025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Грудень 2025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15.09-30.09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01.10-05.10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06.10-19.10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20.10-31.10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01.11-16.11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17.11-30.11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01.12-07.12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08.12-14.12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rtl w:val="0"/>
              </w:rPr>
              <w:t xml:space="preserve">15.12-20.12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Локальний кошторис 02-01-01 на</w:t>
              <w:br w:type="textWrapping"/>
              <w:t xml:space="preserve">загальнобудівельні роботи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1. Демонтажні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стін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233,70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укосів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Зачищення оздоблення стелі (фарби)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154,10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цегляної перегородки (с/вузол)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ламінату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16,20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плінтуса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69,90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плитки зі стін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плитки з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вікон (з підвіконням)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Розширення дверного пройому буфета під дверне полотно 0,9м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старої проводки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Демонтаж верхньоі частини старого пандуса в вестибюлі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0,27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Розділ 2 . Сантехнічні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та підключення бойлера 50 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мийки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умивальника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Прокладка труби металопластикової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та підкючення змішувача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поручнів та обладнання для МГН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сифона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сантехнічної перегородки з дверима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Установка та монтаж радіаторів опалення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mo" w:cs="Arimo" w:eastAsia="Arimo" w:hAnsi="Arim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електричного щита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кабеля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гофри 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підрозетників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та підключення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Підлога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Улаштування цементно-пісчаної стяжки підлоги по маяках з фіброю, пластифікатором (50мм)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101,30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Улаштування гідроізоляції з заходом на стіни 300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плінтуса ПВХ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69,90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порожка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адгезійне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керамогранітної плитки на підлогу з фугуванням (+ плитка в туалеті пцсля демонтажу перегородки)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9,80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Укладка ламінату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93,80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mo" w:cs="Arimo" w:eastAsia="Arimo" w:hAnsi="Arim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. 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Ремонт та армування стін скловолоконою сіткою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237,30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Оштукатурювання стін під плитку клей-цементом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Шпатлювання стін фінішне (+ понижаюча балка)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стін перед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175,40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понижаючих балок перед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укосів віконних та дверних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стін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175,40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укосів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11,40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понижаючоі балки в два шари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Грунтування стін перед укладанням керамічної плитки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13,40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плитки на стіни з фугуванням (+ плитка в туалеті після демонтажу перегородки)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Ремонт стін в коридорі (Короїд) з фарбуванням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87,70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Arimo" w:cs="Arimo" w:eastAsia="Arimo" w:hAnsi="Arimo"/>
                <w:b w:val="1"/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6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rtl w:val="0"/>
              </w:rPr>
              <w:t xml:space="preserve"> . 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стелі типу "Армстронг"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134,00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Arimo" w:cs="Arimo" w:eastAsia="Arimo" w:hAnsi="Arimo"/>
                <w:b w:val="1"/>
                <w:color w:val="000099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7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 . Бетонний пандус вестибюль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основи пандуса з газобетону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бетонноі плити пандусу (висота 100мм)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металевої огорожі пандуса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Укладання керамогранітної плитки (пандус)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24,70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Розділ 8 . Бетонний пандус перед вхідною групою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металевого пандусу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7,80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Розділ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9. Пост вахтера (Ш=2м; Д+1,5)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стін і стелі з ОСБ плити 18мм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19,20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підлоги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вікон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Оббивка панелю ПВХ фасаду і криші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19,20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електричного щита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кабеля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Прокладання гофри ел.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та підключення розеток та вимикачів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світильників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Arimo" w:cs="Arimo" w:eastAsia="Arimo" w:hAnsi="Arimo"/>
                <w:b w:val="1"/>
                <w:color w:val="000099"/>
              </w:rPr>
            </w:pPr>
            <w:bookmarkStart w:colFirst="0" w:colLast="0" w:name="_heading=h.3gw6d4upotcx" w:id="1"/>
            <w:bookmarkEnd w:id="1"/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Розділ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10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. Інші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дверей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вікон з підвіконням та відливом (5 вікон В=1,8; Ш=2 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скляної перегородки з дверима (коридор)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15,70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приточно-вентиляційного клапана на вікна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Зачистка та фарбування решіток на вікнах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17,50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труб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Фарбування чавуних радіаторів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секція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вентрешіток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витяжного вентилятора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Встановлення кондиціонерів з прокладанням траси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Монтаж металевих поручнів (сходи внутр. та зовнішні)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Пониження бордюрного каменю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Влаштування пожежної сигналізації (проєктування, обладнання та робота)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комплекс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8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Послуги вантажників з навантаження та розвантаження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6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7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Arimo" w:cs="Arimo" w:eastAsia="Arimo" w:hAnsi="Arimo"/>
                <w:color w:val="000099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Вивіз будівельного сміття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5,10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Доставка матеріалів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mo" w:cs="Arimo" w:eastAsia="Arimo" w:hAnsi="Arim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C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E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F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0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5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5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05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05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4">
    <w:name w:val="List Paragraph"/>
    <w:link w:val="a5"/>
    <w:uiPriority w:val="34"/>
    <w:qFormat w:val="1"/>
    <w:rsid w:val="00445F0A"/>
    <w:pPr>
      <w:ind w:left="720"/>
      <w:contextualSpacing w:val="1"/>
    </w:pPr>
  </w:style>
  <w:style w:type="paragraph" w:styleId="a6">
    <w:name w:val="header"/>
    <w:link w:val="a7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8">
    <w:name w:val="footer"/>
    <w:link w:val="a9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a">
    <w:name w:val="No Spacing"/>
    <w:uiPriority w:val="1"/>
    <w:qFormat w:val="1"/>
    <w:rsid w:val="00B33757"/>
  </w:style>
  <w:style w:type="table" w:styleId="TableNormal0" w:customStyle="1">
    <w:name w:val="Table Normal"/>
    <w:uiPriority w:val="2"/>
    <w:unhideWhenUsed w:val="1"/>
    <w:qFormat w:val="1"/>
    <w:rsid w:val="00E5606E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b">
    <w:name w:val="Balloon Text"/>
    <w:link w:val="ac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10" w:customStyle="1">
    <w:name w:val="Заголовок 1 Знак"/>
    <w:basedOn w:val="a0"/>
    <w:uiPriority w:val="9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30" w:customStyle="1">
    <w:name w:val="Заголовок 3 Знак"/>
    <w:basedOn w:val="a0"/>
    <w:uiPriority w:val="9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50" w:customStyle="1">
    <w:name w:val="Заголовок 5 Знак"/>
    <w:basedOn w:val="a0"/>
    <w:uiPriority w:val="9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uiPriority w:val="9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d">
    <w:name w:val="page number"/>
    <w:basedOn w:val="a0"/>
    <w:rsid w:val="005149C0"/>
  </w:style>
  <w:style w:type="paragraph" w:styleId="ae">
    <w:name w:val="Body Text"/>
    <w:link w:val="af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f" w:customStyle="1">
    <w:name w:val="Основной текст Знак"/>
    <w:basedOn w:val="a0"/>
    <w:link w:val="ae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f0">
    <w:name w:val="Hyperlink"/>
    <w:uiPriority w:val="99"/>
    <w:rsid w:val="005149C0"/>
    <w:rPr>
      <w:color w:val="0000ff"/>
      <w:u w:val="single"/>
    </w:rPr>
  </w:style>
  <w:style w:type="table" w:styleId="af1">
    <w:name w:val="Table Grid"/>
    <w:basedOn w:val="a1"/>
    <w:rsid w:val="005149C0"/>
    <w:rPr>
      <w:rFonts w:eastAsia="Batang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2">
    <w:name w:val="Body Text Indent"/>
    <w:link w:val="af3"/>
    <w:rsid w:val="005149C0"/>
    <w:pPr>
      <w:spacing w:after="120"/>
      <w:ind w:left="283"/>
    </w:pPr>
  </w:style>
  <w:style w:type="character" w:styleId="af3" w:customStyle="1">
    <w:name w:val="Основной текст с отступом Знак"/>
    <w:basedOn w:val="a0"/>
    <w:link w:val="af2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0">
    <w:name w:val="Body Text Indent 2"/>
    <w:link w:val="21"/>
    <w:rsid w:val="005149C0"/>
    <w:pPr>
      <w:spacing w:after="120" w:line="480" w:lineRule="auto"/>
      <w:ind w:left="283"/>
    </w:pPr>
  </w:style>
  <w:style w:type="character" w:styleId="21" w:customStyle="1">
    <w:name w:val="Основной текст с отступом 2 Знак"/>
    <w:basedOn w:val="a0"/>
    <w:link w:val="20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4">
    <w:name w:val="footnote text"/>
    <w:link w:val="af5"/>
    <w:semiHidden w:val="1"/>
    <w:rsid w:val="005149C0"/>
  </w:style>
  <w:style w:type="character" w:styleId="af5" w:customStyle="1">
    <w:name w:val="Текст сноски Знак"/>
    <w:basedOn w:val="a0"/>
    <w:link w:val="af4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6">
    <w:name w:val="footnote reference"/>
    <w:semiHidden w:val="1"/>
    <w:rsid w:val="005149C0"/>
    <w:rPr>
      <w:vertAlign w:val="superscript"/>
    </w:rPr>
  </w:style>
  <w:style w:type="character" w:styleId="af7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8">
    <w:name w:val="annotation text"/>
    <w:link w:val="af9"/>
    <w:uiPriority w:val="99"/>
    <w:semiHidden w:val="1"/>
    <w:unhideWhenUsed w:val="1"/>
    <w:rsid w:val="005149C0"/>
  </w:style>
  <w:style w:type="character" w:styleId="af9" w:customStyle="1">
    <w:name w:val="Текст примечания Знак"/>
    <w:basedOn w:val="a0"/>
    <w:link w:val="af8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 w:val="1"/>
    <w:unhideWhenUsed w:val="1"/>
    <w:rsid w:val="005149C0"/>
    <w:rPr>
      <w:b w:val="1"/>
      <w:bCs w:val="1"/>
    </w:rPr>
  </w:style>
  <w:style w:type="character" w:styleId="afb" w:customStyle="1">
    <w:name w:val="Тема примечания Знак"/>
    <w:basedOn w:val="af9"/>
    <w:link w:val="afa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fc" w:customStyle="1">
    <w:name w:val="Заголовок Знак"/>
    <w:basedOn w:val="a0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 w:val="1"/>
    <w:rsid w:val="005149C0"/>
    <w:rPr>
      <w:b w:val="1"/>
      <w:bCs w:val="1"/>
    </w:rPr>
  </w:style>
  <w:style w:type="character" w:styleId="afe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character" w:styleId="a5" w:customStyle="1">
    <w:name w:val="Абзац списка Знак"/>
    <w:link w:val="a4"/>
    <w:uiPriority w:val="34"/>
    <w:locked w:val="1"/>
    <w:rsid w:val="0056314C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Default" w:customStyle="1">
    <w:name w:val="Default"/>
    <w:rsid w:val="0056314C"/>
    <w:pPr>
      <w:autoSpaceDE w:val="0"/>
      <w:autoSpaceDN w:val="0"/>
      <w:adjustRightInd w:val="0"/>
    </w:pPr>
    <w:rPr>
      <w:rFonts w:ascii="Arial" w:cs="Arial" w:eastAsia="Batang" w:hAnsi="Arial"/>
      <w:color w:val="000000"/>
      <w:sz w:val="24"/>
      <w:szCs w:val="24"/>
      <w:lang w:eastAsia="uk-UA" w:val="ru-RU"/>
    </w:rPr>
  </w:style>
  <w:style w:type="character" w:styleId="22" w:customStyle="1">
    <w:name w:val="Заголовок 2 Знак"/>
    <w:basedOn w:val="a0"/>
    <w:uiPriority w:val="9"/>
    <w:semiHidden w:val="1"/>
    <w:rsid w:val="009540E6"/>
    <w:rPr>
      <w:rFonts w:ascii="Times New Roman" w:cs="Times New Roman" w:eastAsia="Times New Roman" w:hAnsi="Times New Roman"/>
      <w:b w:val="1"/>
      <w:sz w:val="36"/>
      <w:szCs w:val="36"/>
      <w:lang w:val="en-GB"/>
    </w:rPr>
  </w:style>
  <w:style w:type="character" w:styleId="40" w:customStyle="1">
    <w:name w:val="Заголовок 4 Знак"/>
    <w:basedOn w:val="a0"/>
    <w:uiPriority w:val="9"/>
    <w:semiHidden w:val="1"/>
    <w:rsid w:val="009540E6"/>
    <w:rPr>
      <w:rFonts w:ascii="Times New Roman" w:cs="Times New Roman" w:eastAsia="Times New Roman" w:hAnsi="Times New Roman"/>
      <w:b w:val="1"/>
      <w:sz w:val="24"/>
      <w:szCs w:val="24"/>
      <w:lang w:val="en-GB"/>
    </w:rPr>
  </w:style>
  <w:style w:type="paragraph" w:styleId="aff">
    <w:name w:val="Normal (Web)"/>
    <w:uiPriority w:val="99"/>
    <w:semiHidden w:val="1"/>
    <w:unhideWhenUsed w:val="1"/>
    <w:rsid w:val="009540E6"/>
    <w:pPr>
      <w:spacing w:after="100" w:afterAutospacing="1" w:before="100" w:beforeAutospacing="1"/>
    </w:pPr>
    <w:rPr>
      <w:sz w:val="24"/>
      <w:szCs w:val="24"/>
      <w:lang w:val="ru-RU"/>
    </w:rPr>
  </w:style>
  <w:style w:type="character" w:styleId="aff0" w:customStyle="1">
    <w:name w:val="Подзаголовок Знак"/>
    <w:basedOn w:val="a0"/>
    <w:uiPriority w:val="11"/>
    <w:rsid w:val="009540E6"/>
    <w:rPr>
      <w:rFonts w:ascii="Georgia" w:cs="Georgia" w:eastAsia="Georgia" w:hAnsi="Georgia"/>
      <w:i w:val="1"/>
      <w:color w:val="666666"/>
      <w:sz w:val="48"/>
      <w:szCs w:val="48"/>
      <w:lang w:val="en-GB"/>
    </w:rPr>
  </w:style>
  <w:style w:type="paragraph" w:styleId="msonormal0" w:customStyle="1">
    <w:name w:val="msonormal"/>
    <w:rsid w:val="001E646A"/>
    <w:pPr>
      <w:spacing w:after="100" w:afterAutospacing="1" w:before="100" w:beforeAutospacing="1"/>
    </w:pPr>
    <w:rPr>
      <w:sz w:val="24"/>
      <w:szCs w:val="24"/>
    </w:rPr>
  </w:style>
  <w:style w:type="paragraph" w:styleId="xl63" w:customStyle="1">
    <w:name w:val="xl63"/>
    <w:rsid w:val="001E646A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64" w:customStyle="1">
    <w:name w:val="xl64"/>
    <w:rsid w:val="001E646A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65" w:customStyle="1">
    <w:name w:val="xl65"/>
    <w:rsid w:val="001E646A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66" w:customStyle="1">
    <w:name w:val="xl66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67" w:customStyle="1">
    <w:name w:val="xl67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</w:rPr>
  </w:style>
  <w:style w:type="paragraph" w:styleId="xl68" w:customStyle="1">
    <w:name w:val="xl68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69" w:customStyle="1">
    <w:name w:val="xl69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0" w:customStyle="1">
    <w:name w:val="xl70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1" w:customStyle="1">
    <w:name w:val="xl71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2" w:customStyle="1">
    <w:name w:val="xl72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3" w:customStyle="1">
    <w:name w:val="xl73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u w:val="single"/>
    </w:rPr>
  </w:style>
  <w:style w:type="paragraph" w:styleId="xl74" w:customStyle="1">
    <w:name w:val="xl74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99"/>
      <w:sz w:val="24"/>
      <w:szCs w:val="24"/>
    </w:rPr>
  </w:style>
  <w:style w:type="paragraph" w:styleId="xl75" w:customStyle="1">
    <w:name w:val="xl75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6" w:customStyle="1">
    <w:name w:val="xl76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77" w:customStyle="1">
    <w:name w:val="xl77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</w:rPr>
  </w:style>
  <w:style w:type="paragraph" w:styleId="xl78" w:customStyle="1">
    <w:name w:val="xl78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</w:rPr>
  </w:style>
  <w:style w:type="paragraph" w:styleId="xl79" w:customStyle="1">
    <w:name w:val="xl79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80" w:customStyle="1">
    <w:name w:val="xl80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81" w:customStyle="1">
    <w:name w:val="xl81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82" w:customStyle="1">
    <w:name w:val="xl82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00"/>
      <w:sz w:val="24"/>
      <w:szCs w:val="24"/>
    </w:rPr>
  </w:style>
  <w:style w:type="paragraph" w:styleId="xl83" w:customStyle="1">
    <w:name w:val="xl83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u w:val="single"/>
    </w:rPr>
  </w:style>
  <w:style w:type="paragraph" w:styleId="xl84" w:customStyle="1">
    <w:name w:val="xl84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99"/>
      <w:sz w:val="24"/>
      <w:szCs w:val="24"/>
    </w:rPr>
  </w:style>
  <w:style w:type="paragraph" w:styleId="xl85" w:customStyle="1">
    <w:name w:val="xl85"/>
    <w:rsid w:val="001E646A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86" w:customStyle="1">
    <w:name w:val="xl86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</w:rPr>
  </w:style>
  <w:style w:type="paragraph" w:styleId="xl87" w:customStyle="1">
    <w:name w:val="xl87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</w:rPr>
  </w:style>
  <w:style w:type="paragraph" w:styleId="xl88" w:customStyle="1">
    <w:name w:val="xl88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89" w:customStyle="1">
    <w:name w:val="xl89"/>
    <w:rsid w:val="001E646A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90" w:customStyle="1">
    <w:name w:val="xl90"/>
    <w:rsid w:val="001E646A"/>
    <w:pP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91" w:customStyle="1">
    <w:name w:val="xl91"/>
    <w:rsid w:val="001E646A"/>
    <w:pPr>
      <w:pBdr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92" w:customStyle="1">
    <w:name w:val="xl92"/>
    <w:rsid w:val="001E646A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93" w:customStyle="1">
    <w:name w:val="xl93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</w:rPr>
  </w:style>
  <w:style w:type="paragraph" w:styleId="xl94" w:customStyle="1">
    <w:name w:val="xl94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xl95" w:customStyle="1">
    <w:name w:val="xl95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xl96" w:customStyle="1">
    <w:name w:val="xl96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vBmMnga1Mf1fvMyUV8GYaATqzw==">CgMxLjAyCWguMWZvYjl0ZTIOaC4zZ3c2ZDR1cG90Y3g4AHIhMTl3cU1ZMnFFVWxHUDdXaGJMRHY5c1hXOVpyNHprVE1Q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2025-09-04T09:18:00Z</dcterms:created>
  <dc:creator>oks_l</dc:creator>
</cp:coreProperties>
</file>