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36" w14:textId="7F8B9185" w:rsidR="00BA19AA" w:rsidRPr="00FE41BC" w:rsidRDefault="004220F3" w:rsidP="004220F3">
      <w:pPr>
        <w:tabs>
          <w:tab w:val="left" w:pos="426"/>
        </w:tabs>
        <w:spacing w:after="0" w:line="240" w:lineRule="auto"/>
        <w:jc w:val="right"/>
        <w:rPr>
          <w:rFonts w:ascii="Times New Roman" w:hAnsi="Times New Roman" w:cs="Times New Roman"/>
          <w:b/>
          <w:bCs/>
          <w:sz w:val="24"/>
          <w:szCs w:val="24"/>
          <w:lang w:val="ru-RU"/>
        </w:rPr>
      </w:pPr>
      <w:r w:rsidRPr="004220F3">
        <w:rPr>
          <w:rFonts w:ascii="Times New Roman" w:hAnsi="Times New Roman" w:cs="Times New Roman"/>
          <w:b/>
          <w:bCs/>
          <w:sz w:val="24"/>
          <w:szCs w:val="24"/>
        </w:rPr>
        <w:t>Додаток</w:t>
      </w:r>
      <w:r w:rsidR="00A64A47">
        <w:rPr>
          <w:rFonts w:ascii="Times New Roman" w:hAnsi="Times New Roman" w:cs="Times New Roman"/>
          <w:b/>
          <w:bCs/>
          <w:sz w:val="24"/>
          <w:szCs w:val="24"/>
        </w:rPr>
        <w:t xml:space="preserve"> </w:t>
      </w:r>
      <w:r w:rsidR="00BD6AB6" w:rsidRPr="00FE41BC">
        <w:rPr>
          <w:rFonts w:ascii="Times New Roman" w:hAnsi="Times New Roman" w:cs="Times New Roman"/>
          <w:b/>
          <w:bCs/>
          <w:sz w:val="24"/>
          <w:szCs w:val="24"/>
          <w:lang w:val="ru-RU"/>
        </w:rPr>
        <w:t>5</w:t>
      </w:r>
    </w:p>
    <w:p w14:paraId="36D9B540" w14:textId="77777777" w:rsidR="008D0B84" w:rsidRDefault="008D0B84" w:rsidP="004220F3">
      <w:pPr>
        <w:spacing w:after="0" w:line="240" w:lineRule="auto"/>
        <w:jc w:val="center"/>
        <w:rPr>
          <w:rFonts w:ascii="Times New Roman" w:eastAsia="Times New Roman" w:hAnsi="Times New Roman" w:cs="Times New Roman"/>
          <w:b/>
          <w:sz w:val="32"/>
          <w:szCs w:val="32"/>
        </w:rPr>
      </w:pPr>
    </w:p>
    <w:p w14:paraId="19DE9873" w14:textId="77777777" w:rsidR="008D0B84" w:rsidRDefault="008D0B84" w:rsidP="004220F3">
      <w:pPr>
        <w:spacing w:after="0" w:line="240" w:lineRule="auto"/>
        <w:jc w:val="center"/>
        <w:rPr>
          <w:rFonts w:ascii="Times New Roman" w:eastAsia="Times New Roman" w:hAnsi="Times New Roman" w:cs="Times New Roman"/>
          <w:b/>
          <w:sz w:val="32"/>
          <w:szCs w:val="32"/>
        </w:rPr>
      </w:pPr>
    </w:p>
    <w:p w14:paraId="059DB99F" w14:textId="590B1983" w:rsidR="004220F3" w:rsidRDefault="004220F3" w:rsidP="004220F3">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КОДЕКС ПОВЕДІНКИ</w:t>
      </w:r>
    </w:p>
    <w:p w14:paraId="0EE6C7A1" w14:textId="2B39F60F" w:rsidR="004220F3" w:rsidRDefault="004220F3" w:rsidP="004220F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32"/>
          <w:szCs w:val="32"/>
        </w:rPr>
        <w:t>постачальник</w:t>
      </w:r>
      <w:r w:rsidR="00A64A47">
        <w:rPr>
          <w:rFonts w:ascii="Times New Roman" w:eastAsia="Times New Roman" w:hAnsi="Times New Roman" w:cs="Times New Roman"/>
          <w:b/>
          <w:sz w:val="32"/>
          <w:szCs w:val="32"/>
        </w:rPr>
        <w:t>а</w:t>
      </w:r>
      <w:r>
        <w:rPr>
          <w:rFonts w:ascii="Times New Roman" w:eastAsia="Times New Roman" w:hAnsi="Times New Roman" w:cs="Times New Roman"/>
          <w:b/>
          <w:sz w:val="32"/>
          <w:szCs w:val="32"/>
        </w:rPr>
        <w:t xml:space="preserve"> Громадської організації «</w:t>
      </w:r>
      <w:r w:rsidR="00FB1CCF">
        <w:rPr>
          <w:rFonts w:ascii="Times New Roman" w:eastAsia="Times New Roman" w:hAnsi="Times New Roman" w:cs="Times New Roman"/>
          <w:b/>
          <w:sz w:val="32"/>
          <w:szCs w:val="32"/>
        </w:rPr>
        <w:t>Десяте квітня</w:t>
      </w:r>
      <w:r>
        <w:rPr>
          <w:rFonts w:ascii="Times New Roman" w:eastAsia="Times New Roman" w:hAnsi="Times New Roman" w:cs="Times New Roman"/>
          <w:b/>
          <w:sz w:val="32"/>
          <w:szCs w:val="32"/>
        </w:rPr>
        <w:t>»</w:t>
      </w:r>
    </w:p>
    <w:p w14:paraId="1A7E9819" w14:textId="77777777" w:rsidR="004220F3" w:rsidRDefault="004220F3">
      <w:pPr>
        <w:tabs>
          <w:tab w:val="left" w:pos="426"/>
        </w:tabs>
        <w:spacing w:after="0" w:line="240" w:lineRule="auto"/>
        <w:jc w:val="center"/>
        <w:rPr>
          <w:sz w:val="20"/>
          <w:szCs w:val="20"/>
        </w:rPr>
      </w:pPr>
    </w:p>
    <w:p w14:paraId="00000037" w14:textId="3A76C576" w:rsidR="00BA19AA" w:rsidRDefault="005166B4">
      <w:pPr>
        <w:numPr>
          <w:ilvl w:val="0"/>
          <w:numId w:val="2"/>
        </w:numPr>
        <w:pBdr>
          <w:top w:val="nil"/>
          <w:left w:val="nil"/>
          <w:bottom w:val="nil"/>
          <w:right w:val="nil"/>
          <w:between w:val="nil"/>
        </w:pBdr>
        <w:tabs>
          <w:tab w:val="left" w:pos="264"/>
        </w:tabs>
        <w:spacing w:after="0" w:line="240" w:lineRule="auto"/>
        <w:ind w:left="0" w:firstLine="0"/>
        <w:jc w:val="both"/>
        <w:rPr>
          <w:color w:val="000000"/>
          <w:sz w:val="24"/>
          <w:szCs w:val="24"/>
        </w:rPr>
      </w:pPr>
      <w:r>
        <w:rPr>
          <w:rFonts w:ascii="Times New Roman" w:eastAsia="Times New Roman" w:hAnsi="Times New Roman" w:cs="Times New Roman"/>
          <w:b/>
          <w:color w:val="000000"/>
          <w:sz w:val="24"/>
          <w:szCs w:val="24"/>
        </w:rPr>
        <w:t>Сфера застосування:</w:t>
      </w:r>
      <w:r>
        <w:rPr>
          <w:rFonts w:ascii="Times New Roman" w:eastAsia="Times New Roman" w:hAnsi="Times New Roman" w:cs="Times New Roman"/>
          <w:color w:val="000000"/>
          <w:sz w:val="24"/>
          <w:szCs w:val="24"/>
        </w:rPr>
        <w:t xml:space="preserve"> у положеннях цього Кодексу поведінки постачальник</w:t>
      </w:r>
      <w:r w:rsidR="00A64A47">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w:t>
      </w:r>
      <w:r w:rsidR="00DF6FCE">
        <w:rPr>
          <w:rFonts w:ascii="Times New Roman" w:eastAsia="Times New Roman" w:hAnsi="Times New Roman" w:cs="Times New Roman"/>
          <w:sz w:val="24"/>
          <w:szCs w:val="24"/>
        </w:rPr>
        <w:t>Г</w:t>
      </w:r>
      <w:r w:rsidR="004B4F11">
        <w:rPr>
          <w:rFonts w:ascii="Times New Roman" w:eastAsia="Times New Roman" w:hAnsi="Times New Roman" w:cs="Times New Roman"/>
          <w:sz w:val="24"/>
          <w:szCs w:val="24"/>
        </w:rPr>
        <w:t>ромадської організації</w:t>
      </w:r>
      <w:r w:rsidR="00DF6FCE">
        <w:rPr>
          <w:rFonts w:ascii="Times New Roman" w:eastAsia="Times New Roman" w:hAnsi="Times New Roman" w:cs="Times New Roman"/>
          <w:sz w:val="24"/>
          <w:szCs w:val="24"/>
        </w:rPr>
        <w:t> </w:t>
      </w:r>
      <w:r>
        <w:rPr>
          <w:rFonts w:ascii="Times New Roman" w:eastAsia="Times New Roman" w:hAnsi="Times New Roman" w:cs="Times New Roman"/>
          <w:color w:val="000000"/>
          <w:sz w:val="24"/>
          <w:szCs w:val="24"/>
        </w:rPr>
        <w:t>«</w:t>
      </w:r>
      <w:r w:rsidR="00FB1CCF">
        <w:rPr>
          <w:rFonts w:ascii="Times New Roman" w:eastAsia="Times New Roman" w:hAnsi="Times New Roman" w:cs="Times New Roman"/>
          <w:color w:val="000000"/>
          <w:sz w:val="24"/>
          <w:szCs w:val="24"/>
        </w:rPr>
        <w:t>Десяте квітня</w:t>
      </w:r>
      <w:r>
        <w:rPr>
          <w:rFonts w:ascii="Times New Roman" w:eastAsia="Times New Roman" w:hAnsi="Times New Roman" w:cs="Times New Roman"/>
          <w:color w:val="000000"/>
          <w:sz w:val="24"/>
          <w:szCs w:val="24"/>
        </w:rPr>
        <w:t>» (</w:t>
      </w:r>
      <w:r w:rsidR="004B4F11">
        <w:rPr>
          <w:rFonts w:ascii="Times New Roman" w:eastAsia="Times New Roman" w:hAnsi="Times New Roman" w:cs="Times New Roman"/>
          <w:color w:val="000000"/>
          <w:sz w:val="24"/>
          <w:szCs w:val="24"/>
        </w:rPr>
        <w:t>далі</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 Кодекс поведінки) викладені вимоги </w:t>
      </w:r>
      <w:r>
        <w:rPr>
          <w:rFonts w:ascii="Times New Roman" w:eastAsia="Times New Roman" w:hAnsi="Times New Roman" w:cs="Times New Roman"/>
          <w:sz w:val="24"/>
          <w:szCs w:val="24"/>
        </w:rPr>
        <w:t>Г</w:t>
      </w:r>
      <w:r w:rsidR="004B4F11">
        <w:rPr>
          <w:rFonts w:ascii="Times New Roman" w:eastAsia="Times New Roman" w:hAnsi="Times New Roman" w:cs="Times New Roman"/>
          <w:sz w:val="24"/>
          <w:szCs w:val="24"/>
        </w:rPr>
        <w:t>ромадської організації  </w:t>
      </w:r>
      <w:r>
        <w:rPr>
          <w:rFonts w:ascii="Times New Roman" w:eastAsia="Times New Roman" w:hAnsi="Times New Roman" w:cs="Times New Roman"/>
          <w:sz w:val="24"/>
          <w:szCs w:val="24"/>
        </w:rPr>
        <w:t>«</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w:t>
      </w:r>
      <w:r w:rsidR="004B4F11">
        <w:rPr>
          <w:rFonts w:ascii="Times New Roman" w:eastAsia="Times New Roman" w:hAnsi="Times New Roman" w:cs="Times New Roman"/>
          <w:sz w:val="24"/>
          <w:szCs w:val="24"/>
        </w:rPr>
        <w:t xml:space="preserve"> (скорочене найменування – ГО «</w:t>
      </w:r>
      <w:r w:rsidR="00FB1CCF">
        <w:rPr>
          <w:rFonts w:ascii="Times New Roman" w:eastAsia="Times New Roman" w:hAnsi="Times New Roman" w:cs="Times New Roman"/>
          <w:sz w:val="24"/>
          <w:szCs w:val="24"/>
        </w:rPr>
        <w:t>Десяте квітня</w:t>
      </w:r>
      <w:r w:rsidR="004B4F11">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яких повинні дотримуватися всі постачальники ГО «</w:t>
      </w:r>
      <w:r w:rsidR="00FB1CCF">
        <w:rPr>
          <w:rFonts w:ascii="Times New Roman" w:eastAsia="Times New Roman" w:hAnsi="Times New Roman" w:cs="Times New Roman"/>
          <w:color w:val="000000"/>
          <w:sz w:val="24"/>
          <w:szCs w:val="24"/>
        </w:rPr>
        <w:t>Десяте квітня</w:t>
      </w:r>
      <w:r>
        <w:rPr>
          <w:rFonts w:ascii="Times New Roman" w:eastAsia="Times New Roman" w:hAnsi="Times New Roman" w:cs="Times New Roman"/>
          <w:color w:val="000000"/>
          <w:sz w:val="24"/>
          <w:szCs w:val="24"/>
        </w:rPr>
        <w:t>». ГО «</w:t>
      </w:r>
      <w:r w:rsidR="00FB1CCF">
        <w:rPr>
          <w:rFonts w:ascii="Times New Roman" w:eastAsia="Times New Roman" w:hAnsi="Times New Roman" w:cs="Times New Roman"/>
          <w:color w:val="000000"/>
          <w:sz w:val="24"/>
          <w:szCs w:val="24"/>
        </w:rPr>
        <w:t>Десяте квітня</w:t>
      </w:r>
      <w:r>
        <w:rPr>
          <w:rFonts w:ascii="Times New Roman" w:eastAsia="Times New Roman" w:hAnsi="Times New Roman" w:cs="Times New Roman"/>
          <w:color w:val="000000"/>
          <w:sz w:val="24"/>
          <w:szCs w:val="24"/>
        </w:rPr>
        <w:t>» очікує, що ці принципи будуть застосовуватися до постачальників та їхнього персоналу, материнських і дочірніх компаній або філій і субпідрядників. ГО «</w:t>
      </w:r>
      <w:r w:rsidR="00FB1CCF">
        <w:rPr>
          <w:rFonts w:ascii="Times New Roman" w:eastAsia="Times New Roman" w:hAnsi="Times New Roman" w:cs="Times New Roman"/>
          <w:color w:val="000000"/>
          <w:sz w:val="24"/>
          <w:szCs w:val="24"/>
        </w:rPr>
        <w:t>Десяте квітня</w:t>
      </w:r>
      <w:r>
        <w:rPr>
          <w:rFonts w:ascii="Times New Roman" w:eastAsia="Times New Roman" w:hAnsi="Times New Roman" w:cs="Times New Roman"/>
          <w:color w:val="000000"/>
          <w:sz w:val="24"/>
          <w:szCs w:val="24"/>
        </w:rPr>
        <w:t>» очікує, що постачальники подбають про те, щоб довести зміст цього Кодексу поведінки до відома своїх працівників, материнських і дочірніх компаній і філій, а також всіх субпідрядників, і що це буде зроблено місцевою мовою в найбільш доступній для всіх формі. Для того, щоб зареєструвати постачальника в базі даних постачальників ГО «</w:t>
      </w:r>
      <w:r w:rsidR="00FB1CCF">
        <w:rPr>
          <w:rFonts w:ascii="Times New Roman" w:eastAsia="Times New Roman" w:hAnsi="Times New Roman" w:cs="Times New Roman"/>
          <w:color w:val="000000"/>
          <w:sz w:val="24"/>
          <w:szCs w:val="24"/>
        </w:rPr>
        <w:t>Десяте квітня</w:t>
      </w:r>
      <w:r>
        <w:rPr>
          <w:rFonts w:ascii="Times New Roman" w:eastAsia="Times New Roman" w:hAnsi="Times New Roman" w:cs="Times New Roman"/>
          <w:color w:val="000000"/>
          <w:sz w:val="24"/>
          <w:szCs w:val="24"/>
        </w:rPr>
        <w:t>», або мати взаємовідносини з ГО «</w:t>
      </w:r>
      <w:r w:rsidR="00FB1CCF">
        <w:rPr>
          <w:rFonts w:ascii="Times New Roman" w:eastAsia="Times New Roman" w:hAnsi="Times New Roman" w:cs="Times New Roman"/>
          <w:color w:val="000000"/>
          <w:sz w:val="24"/>
          <w:szCs w:val="24"/>
        </w:rPr>
        <w:t>Десяте квітня</w:t>
      </w:r>
      <w:r>
        <w:rPr>
          <w:rFonts w:ascii="Times New Roman" w:eastAsia="Times New Roman" w:hAnsi="Times New Roman" w:cs="Times New Roman"/>
          <w:color w:val="000000"/>
          <w:sz w:val="24"/>
          <w:szCs w:val="24"/>
        </w:rPr>
        <w:t>», постачальник зобов'язаний прочитати та прийняти, що цей Кодекс поведінки забезпечує мінімальні стандарти, які очікуються від постачальників ГО «</w:t>
      </w:r>
      <w:r w:rsidR="00FB1CCF">
        <w:rPr>
          <w:rFonts w:ascii="Times New Roman" w:eastAsia="Times New Roman" w:hAnsi="Times New Roman" w:cs="Times New Roman"/>
          <w:color w:val="000000"/>
          <w:sz w:val="24"/>
          <w:szCs w:val="24"/>
        </w:rPr>
        <w:t>Десяте квітня</w:t>
      </w:r>
      <w:r>
        <w:rPr>
          <w:rFonts w:ascii="Times New Roman" w:eastAsia="Times New Roman" w:hAnsi="Times New Roman" w:cs="Times New Roman"/>
          <w:color w:val="000000"/>
          <w:sz w:val="24"/>
          <w:szCs w:val="24"/>
        </w:rPr>
        <w:t>». Крім того, постачальники повинні розуміти, що деякі положення цього Кодексу поведінки будуть обов'язковими для виконання постачальником у випадку, якщо постачальник укладе договір з ГО «</w:t>
      </w:r>
      <w:r w:rsidR="00FB1CCF">
        <w:rPr>
          <w:rFonts w:ascii="Times New Roman" w:eastAsia="Times New Roman" w:hAnsi="Times New Roman" w:cs="Times New Roman"/>
          <w:color w:val="000000"/>
          <w:sz w:val="24"/>
          <w:szCs w:val="24"/>
        </w:rPr>
        <w:t>Десяте квітня</w:t>
      </w:r>
      <w:r>
        <w:rPr>
          <w:rFonts w:ascii="Times New Roman" w:eastAsia="Times New Roman" w:hAnsi="Times New Roman" w:cs="Times New Roman"/>
          <w:color w:val="000000"/>
          <w:sz w:val="24"/>
          <w:szCs w:val="24"/>
        </w:rPr>
        <w:t>» відповідно до умов будь-якого такого контракту. Недотримання певних положень також може перешкодити постачальникам отримати договір</w:t>
      </w:r>
      <w:r>
        <w:rPr>
          <w:rFonts w:ascii="Times New Roman" w:eastAsia="Times New Roman" w:hAnsi="Times New Roman" w:cs="Times New Roman"/>
          <w:sz w:val="24"/>
          <w:szCs w:val="24"/>
        </w:rPr>
        <w:t xml:space="preserve"> з ГО «</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p>
    <w:p w14:paraId="00000038" w14:textId="77777777" w:rsidR="00BA19AA" w:rsidRPr="00DF6FCE" w:rsidRDefault="00BA19AA">
      <w:pPr>
        <w:tabs>
          <w:tab w:val="left" w:pos="426"/>
        </w:tabs>
        <w:spacing w:after="0" w:line="240" w:lineRule="auto"/>
        <w:jc w:val="both"/>
        <w:rPr>
          <w:rFonts w:ascii="Times New Roman" w:eastAsia="Times New Roman" w:hAnsi="Times New Roman" w:cs="Times New Roman"/>
          <w:sz w:val="12"/>
          <w:szCs w:val="12"/>
        </w:rPr>
      </w:pPr>
    </w:p>
    <w:p w14:paraId="00000039" w14:textId="2094EFAC" w:rsidR="00BA19AA" w:rsidRDefault="005166B4">
      <w:pPr>
        <w:tabs>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ab/>
        <w:t>Постійне вдосконалення:</w:t>
      </w:r>
      <w:r>
        <w:rPr>
          <w:rFonts w:ascii="Times New Roman" w:eastAsia="Times New Roman" w:hAnsi="Times New Roman" w:cs="Times New Roman"/>
          <w:sz w:val="24"/>
          <w:szCs w:val="24"/>
        </w:rPr>
        <w:t xml:space="preserve"> у положеннях цього Кодексу поведінки викладені мінімальні стандарти, дотримання яких очікується від постачальників ГО «</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 ГО «</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 очікує, що постачальники будуть прагнути перевершити найкращі зразки як міжнародної, так і галузевої практики. ГО «</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 очікує також, що постачальники будуть вести роботу зі своїми власними постачальниками та субпідрядниками, закликаючи їх до того, щоб вони також прагнули дотримуватися принципів цього Кодексу поведінки. ГО «</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 xml:space="preserve">» усвідомлює, що дотримання деяких стандартів, викладених у цьому Кодексі поведінки, є скоріше динамічним, ніж статичним процесом і закликає постачальників постійно вдосконалювати умови праці відповідним чином. </w:t>
      </w:r>
    </w:p>
    <w:p w14:paraId="0000003A" w14:textId="77777777" w:rsidR="00BA19AA" w:rsidRPr="00DF6FCE" w:rsidRDefault="005166B4">
      <w:pPr>
        <w:tabs>
          <w:tab w:val="left" w:pos="426"/>
        </w:tabs>
        <w:spacing w:after="0" w:line="240" w:lineRule="auto"/>
        <w:jc w:val="both"/>
        <w:rPr>
          <w:rFonts w:ascii="Times New Roman" w:eastAsia="Times New Roman" w:hAnsi="Times New Roman" w:cs="Times New Roman"/>
          <w:sz w:val="12"/>
          <w:szCs w:val="12"/>
        </w:rPr>
      </w:pPr>
      <w:r>
        <w:rPr>
          <w:rFonts w:ascii="Times New Roman" w:eastAsia="Times New Roman" w:hAnsi="Times New Roman" w:cs="Times New Roman"/>
          <w:sz w:val="24"/>
          <w:szCs w:val="24"/>
        </w:rPr>
        <w:t xml:space="preserve"> </w:t>
      </w:r>
    </w:p>
    <w:p w14:paraId="0000003B" w14:textId="3A0E2876" w:rsidR="00BA19AA" w:rsidRDefault="005166B4">
      <w:pPr>
        <w:tabs>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ab/>
        <w:t>Управління, контроль і оцінка</w:t>
      </w:r>
      <w:r>
        <w:rPr>
          <w:rFonts w:ascii="Times New Roman" w:eastAsia="Times New Roman" w:hAnsi="Times New Roman" w:cs="Times New Roman"/>
          <w:sz w:val="24"/>
          <w:szCs w:val="24"/>
        </w:rPr>
        <w:t>: ГО «</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 сподівається, що постачальники, як мінімум, поставили чіткі цілі на шляху до дотримання стандартів, викладених у цьому Кодексі поведінки. ГО «</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 xml:space="preserve">» очікує, що постачальники </w:t>
      </w:r>
      <w:proofErr w:type="spellStart"/>
      <w:r>
        <w:rPr>
          <w:rFonts w:ascii="Times New Roman" w:eastAsia="Times New Roman" w:hAnsi="Times New Roman" w:cs="Times New Roman"/>
          <w:sz w:val="24"/>
          <w:szCs w:val="24"/>
        </w:rPr>
        <w:t>створять</w:t>
      </w:r>
      <w:proofErr w:type="spellEnd"/>
      <w:r>
        <w:rPr>
          <w:rFonts w:ascii="Times New Roman" w:eastAsia="Times New Roman" w:hAnsi="Times New Roman" w:cs="Times New Roman"/>
          <w:sz w:val="24"/>
          <w:szCs w:val="24"/>
        </w:rPr>
        <w:t xml:space="preserve"> і підтримуватимуть належні системи управління, сфера застосування яких буде відповідати змісту цього Кодексу поведінки і що вони будуть активно аналізувати, контролювати і видозмінювати свої процеси управління і господарські операції з тим, щоб забезпечити їхню відповідність принципам, викладеним у цьому Кодексі поведінки. </w:t>
      </w:r>
    </w:p>
    <w:p w14:paraId="0000003D" w14:textId="77777777" w:rsidR="00BA19AA" w:rsidRDefault="005166B4">
      <w:pPr>
        <w:widowControl w:val="0"/>
        <w:spacing w:before="120"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ТРУДОВІ ВІДНОСИНИ</w:t>
      </w:r>
    </w:p>
    <w:p w14:paraId="0000003E" w14:textId="5DD58445" w:rsidR="00BA19AA" w:rsidRDefault="005166B4">
      <w:pPr>
        <w:tabs>
          <w:tab w:val="left" w:pos="284"/>
        </w:tabs>
        <w:spacing w:after="0" w:line="240" w:lineRule="auto"/>
        <w:jc w:val="both"/>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ab/>
        <w:t>Свобода асоціацій і укладення колективних договорів:</w:t>
      </w:r>
      <w:r>
        <w:rPr>
          <w:rFonts w:ascii="Times New Roman" w:eastAsia="Times New Roman" w:hAnsi="Times New Roman" w:cs="Times New Roman"/>
          <w:sz w:val="24"/>
          <w:szCs w:val="24"/>
        </w:rPr>
        <w:t xml:space="preserve"> ГО «</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 очікує, що постачальники будуть визнавати вільне здійснення права працюючих без будь-якого розмежування об'єднуватися в організації, відстоювати і захищати свої інтереси і укладати колективні договори, а також забезпечувати захист своїх працівників від будь-яких дій або інших форм дискримінації, пов'язаної із здійсненням їхнього права об'єднуватися в організації, брати участь у діяльності професійних спілок та укладати колективні договори.</w:t>
      </w:r>
    </w:p>
    <w:p w14:paraId="0000003F" w14:textId="77777777" w:rsidR="00BA19AA" w:rsidRPr="00DF6FCE" w:rsidRDefault="00BA19AA">
      <w:pPr>
        <w:tabs>
          <w:tab w:val="left" w:pos="426"/>
        </w:tabs>
        <w:spacing w:after="0" w:line="240" w:lineRule="auto"/>
        <w:jc w:val="both"/>
        <w:rPr>
          <w:rFonts w:ascii="Times New Roman" w:eastAsia="Times New Roman" w:hAnsi="Times New Roman" w:cs="Times New Roman"/>
          <w:sz w:val="12"/>
          <w:szCs w:val="12"/>
        </w:rPr>
      </w:pPr>
    </w:p>
    <w:p w14:paraId="00000040" w14:textId="30DA12AD" w:rsidR="00BA19AA" w:rsidRDefault="005166B4">
      <w:pPr>
        <w:tabs>
          <w:tab w:val="left" w:pos="284"/>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ab/>
        <w:t xml:space="preserve">Примусова чи обов'язкова праця: </w:t>
      </w:r>
      <w:r>
        <w:rPr>
          <w:rFonts w:ascii="Times New Roman" w:eastAsia="Times New Roman" w:hAnsi="Times New Roman" w:cs="Times New Roman"/>
          <w:sz w:val="24"/>
          <w:szCs w:val="24"/>
        </w:rPr>
        <w:t>ГО «</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 очікує, що її постачальники заборонять застосування примусової чи обов'язкової праці у всіх її формах.</w:t>
      </w:r>
    </w:p>
    <w:p w14:paraId="00000041" w14:textId="77777777" w:rsidR="00BA19AA" w:rsidRPr="00DF6FCE" w:rsidRDefault="00BA19AA">
      <w:pPr>
        <w:tabs>
          <w:tab w:val="left" w:pos="426"/>
        </w:tabs>
        <w:spacing w:after="0" w:line="240" w:lineRule="auto"/>
        <w:jc w:val="both"/>
        <w:rPr>
          <w:rFonts w:ascii="Times New Roman" w:eastAsia="Times New Roman" w:hAnsi="Times New Roman" w:cs="Times New Roman"/>
          <w:b/>
          <w:sz w:val="12"/>
          <w:szCs w:val="12"/>
        </w:rPr>
      </w:pPr>
    </w:p>
    <w:p w14:paraId="00000042" w14:textId="002398A2" w:rsidR="00BA19AA" w:rsidRDefault="005166B4">
      <w:pPr>
        <w:tabs>
          <w:tab w:val="left" w:pos="284"/>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6.</w:t>
      </w:r>
      <w:r>
        <w:rPr>
          <w:rFonts w:ascii="Times New Roman" w:eastAsia="Times New Roman" w:hAnsi="Times New Roman" w:cs="Times New Roman"/>
          <w:b/>
          <w:sz w:val="24"/>
          <w:szCs w:val="24"/>
        </w:rPr>
        <w:tab/>
        <w:t>Дитяча праця:</w:t>
      </w:r>
      <w:r>
        <w:rPr>
          <w:rFonts w:ascii="Times New Roman" w:eastAsia="Times New Roman" w:hAnsi="Times New Roman" w:cs="Times New Roman"/>
          <w:sz w:val="24"/>
          <w:szCs w:val="24"/>
        </w:rPr>
        <w:t xml:space="preserve"> ГО «</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 xml:space="preserve">» очікує, що її постачальники не будуть наймати: </w:t>
      </w:r>
    </w:p>
    <w:p w14:paraId="00000043" w14:textId="77777777" w:rsidR="00BA19AA" w:rsidRDefault="005166B4">
      <w:pPr>
        <w:numPr>
          <w:ilvl w:val="0"/>
          <w:numId w:val="1"/>
        </w:numPr>
        <w:pBdr>
          <w:top w:val="nil"/>
          <w:left w:val="nil"/>
          <w:bottom w:val="nil"/>
          <w:right w:val="nil"/>
          <w:between w:val="nil"/>
        </w:pBdr>
        <w:tabs>
          <w:tab w:val="left" w:pos="284"/>
        </w:tabs>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дітей, які не досягли мінімального віку прийому на роботу, що включає: дітей віком до 14 років; дітей старше 14 років, але не молодше мінімального віку найму на роботу у відповідності із законом країни або країн, де повністю або частково здійснюється виконання робочого контракту; і дітей молодше віку завершення обов'язкової шкільної освіти;</w:t>
      </w:r>
    </w:p>
    <w:p w14:paraId="00000044" w14:textId="77777777" w:rsidR="00BA19AA" w:rsidRDefault="005166B4">
      <w:pPr>
        <w:numPr>
          <w:ilvl w:val="0"/>
          <w:numId w:val="1"/>
        </w:numPr>
        <w:pBdr>
          <w:top w:val="nil"/>
          <w:left w:val="nil"/>
          <w:bottom w:val="nil"/>
          <w:right w:val="nil"/>
          <w:between w:val="nil"/>
        </w:pBdr>
        <w:tabs>
          <w:tab w:val="left" w:pos="284"/>
        </w:tabs>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осіб молодше 18 років для виконання роботи, яка за своїм характером або за умовами виконання може завдати шкоди здоров'ю, безпеці чи моральності таких осіб.</w:t>
      </w:r>
    </w:p>
    <w:p w14:paraId="00000045" w14:textId="77777777" w:rsidR="00BA19AA" w:rsidRPr="00DF6FCE" w:rsidRDefault="00BA19AA">
      <w:pPr>
        <w:tabs>
          <w:tab w:val="left" w:pos="284"/>
        </w:tabs>
        <w:spacing w:after="0" w:line="240" w:lineRule="auto"/>
        <w:jc w:val="both"/>
        <w:rPr>
          <w:rFonts w:ascii="Times New Roman" w:eastAsia="Times New Roman" w:hAnsi="Times New Roman" w:cs="Times New Roman"/>
          <w:b/>
          <w:sz w:val="12"/>
          <w:szCs w:val="12"/>
        </w:rPr>
      </w:pPr>
    </w:p>
    <w:p w14:paraId="00000046" w14:textId="2EC449C4" w:rsidR="00BA19AA" w:rsidRDefault="005166B4">
      <w:pPr>
        <w:tabs>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w:t>
      </w:r>
      <w:r>
        <w:rPr>
          <w:rFonts w:ascii="Times New Roman" w:eastAsia="Times New Roman" w:hAnsi="Times New Roman" w:cs="Times New Roman"/>
          <w:b/>
          <w:sz w:val="24"/>
          <w:szCs w:val="24"/>
        </w:rPr>
        <w:tab/>
        <w:t xml:space="preserve">Дискримінація: </w:t>
      </w:r>
      <w:r>
        <w:rPr>
          <w:rFonts w:ascii="Times New Roman" w:eastAsia="Times New Roman" w:hAnsi="Times New Roman" w:cs="Times New Roman"/>
          <w:sz w:val="24"/>
          <w:szCs w:val="24"/>
        </w:rPr>
        <w:t>ГО «</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 очікує, що постачальники будуть забезпечувати рівність можливостей і рівноправність у галузі праці та роду діяльності без будь якої дискримінації за ознакою раси, кольору шкіри, статі, віросповідання, політичних поглядів, національного або соціального походження або за будь-якою іншою ознакою, яка може бути передбачена у національному законодавстві країни або країн, де повністю або частково здійснюється виконання договору. ГО «</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 xml:space="preserve">» очікує, що її постачальники вживатимуть усіх належних заходів для того, щоб ні вони самі, ні їхні материнські і дочірні компанії та філій, а також субпідрядники не допускали </w:t>
      </w:r>
      <w:proofErr w:type="spellStart"/>
      <w:r>
        <w:rPr>
          <w:rFonts w:ascii="Times New Roman" w:eastAsia="Times New Roman" w:hAnsi="Times New Roman" w:cs="Times New Roman"/>
          <w:sz w:val="24"/>
          <w:szCs w:val="24"/>
        </w:rPr>
        <w:t>гендерно</w:t>
      </w:r>
      <w:proofErr w:type="spellEnd"/>
      <w:r>
        <w:rPr>
          <w:rFonts w:ascii="Times New Roman" w:eastAsia="Times New Roman" w:hAnsi="Times New Roman" w:cs="Times New Roman"/>
          <w:sz w:val="24"/>
          <w:szCs w:val="24"/>
        </w:rPr>
        <w:t>-зумовлених чи інших дискримінаційних практик працевлаштування, включаючи тих, що стосуються найму, підвищення на посаді, навчання, оплати праці та бонусів.</w:t>
      </w:r>
    </w:p>
    <w:p w14:paraId="00000047" w14:textId="77777777" w:rsidR="00BA19AA" w:rsidRPr="00DF6FCE" w:rsidRDefault="00BA19AA">
      <w:pPr>
        <w:tabs>
          <w:tab w:val="left" w:pos="284"/>
        </w:tabs>
        <w:spacing w:after="0" w:line="240" w:lineRule="auto"/>
        <w:jc w:val="both"/>
        <w:rPr>
          <w:rFonts w:ascii="Times New Roman" w:eastAsia="Times New Roman" w:hAnsi="Times New Roman" w:cs="Times New Roman"/>
          <w:b/>
          <w:sz w:val="12"/>
          <w:szCs w:val="12"/>
        </w:rPr>
      </w:pPr>
    </w:p>
    <w:p w14:paraId="00000048" w14:textId="561A0676" w:rsidR="00BA19AA" w:rsidRDefault="005166B4">
      <w:pPr>
        <w:tabs>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w:t>
      </w:r>
      <w:r>
        <w:rPr>
          <w:rFonts w:ascii="Times New Roman" w:eastAsia="Times New Roman" w:hAnsi="Times New Roman" w:cs="Times New Roman"/>
          <w:b/>
          <w:sz w:val="24"/>
          <w:szCs w:val="24"/>
        </w:rPr>
        <w:tab/>
        <w:t xml:space="preserve">Заробітна плата, робочий час та інші умови праці: </w:t>
      </w:r>
      <w:r>
        <w:rPr>
          <w:rFonts w:ascii="Times New Roman" w:eastAsia="Times New Roman" w:hAnsi="Times New Roman" w:cs="Times New Roman"/>
          <w:sz w:val="24"/>
          <w:szCs w:val="24"/>
        </w:rPr>
        <w:t>ГО «</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 xml:space="preserve">» очікує, що постачальники будуть забезпечувати виплату заробітної плати законними платіжними засобами через рівні проміжки часу, що не перевищують одного місяця, у повному обсязі і безпосередньо відповідним працівникам. Постачальники повинні вести належний облік таких виплат. Відрахування із заробітної плати допускаються тільки при дотриманні умов і в розмірах, запропонованих застосовним законом, правилами і, або колективною угодою і постачальники повинні інформувати відповідних працівників про такі відрахування при кожній виплаті заробітної плати. Заробітна плата, робочий час та інші умови праці, що надаються постачальниками, не повинні бути менш вигідними у порівнянні з найкращими умовами, які переважають у конкретній місцевості, тобто умовами, передбаченими: </w:t>
      </w:r>
    </w:p>
    <w:p w14:paraId="00000049" w14:textId="77777777" w:rsidR="00BA19AA" w:rsidRDefault="005166B4">
      <w:pPr>
        <w:numPr>
          <w:ilvl w:val="0"/>
          <w:numId w:val="1"/>
        </w:numPr>
        <w:pBdr>
          <w:top w:val="nil"/>
          <w:left w:val="nil"/>
          <w:bottom w:val="nil"/>
          <w:right w:val="nil"/>
          <w:between w:val="nil"/>
        </w:pBdr>
        <w:tabs>
          <w:tab w:val="left" w:pos="284"/>
        </w:tabs>
        <w:spacing w:before="120"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колективними угодами, які охоплюють значну частку роботодавців і працівників; </w:t>
      </w:r>
    </w:p>
    <w:p w14:paraId="0000004A" w14:textId="77777777" w:rsidR="00BA19AA" w:rsidRDefault="005166B4">
      <w:pPr>
        <w:numPr>
          <w:ilvl w:val="0"/>
          <w:numId w:val="1"/>
        </w:numPr>
        <w:pBdr>
          <w:top w:val="nil"/>
          <w:left w:val="nil"/>
          <w:bottom w:val="nil"/>
          <w:right w:val="nil"/>
          <w:between w:val="nil"/>
        </w:pBdr>
        <w:tabs>
          <w:tab w:val="left" w:pos="284"/>
        </w:tabs>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арбітражними рішеннями; </w:t>
      </w:r>
    </w:p>
    <w:p w14:paraId="0000004B" w14:textId="77777777" w:rsidR="00BA19AA" w:rsidRDefault="005166B4">
      <w:pPr>
        <w:numPr>
          <w:ilvl w:val="0"/>
          <w:numId w:val="1"/>
        </w:numPr>
        <w:pBdr>
          <w:top w:val="nil"/>
          <w:left w:val="nil"/>
          <w:bottom w:val="nil"/>
          <w:right w:val="nil"/>
          <w:between w:val="nil"/>
        </w:pBdr>
        <w:tabs>
          <w:tab w:val="left" w:pos="284"/>
        </w:tabs>
        <w:spacing w:after="12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застосовними законами або правилами щодо роботи аналогічного характеру, що виконується у відповідній професійній сфері або галузі, у тому районі, де ця  робота здійснюється.</w:t>
      </w:r>
    </w:p>
    <w:p w14:paraId="0000004C" w14:textId="49FB3C07" w:rsidR="00BA19AA" w:rsidRDefault="005166B4">
      <w:pPr>
        <w:widowControl w:val="0"/>
        <w:spacing w:line="24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 Здоров'я та безпека:</w:t>
      </w:r>
      <w:r>
        <w:rPr>
          <w:rFonts w:ascii="Times New Roman" w:eastAsia="Times New Roman" w:hAnsi="Times New Roman" w:cs="Times New Roman"/>
          <w:sz w:val="24"/>
          <w:szCs w:val="24"/>
        </w:rPr>
        <w:t xml:space="preserve"> ГО «</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 очікує, що постачальники будуть забезпечувати, наскільки це практично можливо у межах доцільності:</w:t>
      </w:r>
    </w:p>
    <w:p w14:paraId="0000004D" w14:textId="77777777" w:rsidR="00BA19AA" w:rsidRDefault="005166B4">
      <w:pPr>
        <w:widowControl w:val="0"/>
        <w:numPr>
          <w:ilvl w:val="0"/>
          <w:numId w:val="1"/>
        </w:numPr>
        <w:pBdr>
          <w:top w:val="nil"/>
          <w:left w:val="nil"/>
          <w:bottom w:val="nil"/>
          <w:right w:val="nil"/>
          <w:between w:val="nil"/>
        </w:pBdr>
        <w:tabs>
          <w:tab w:val="left" w:pos="284"/>
        </w:tabs>
        <w:spacing w:after="0" w:line="240" w:lineRule="auto"/>
        <w:ind w:left="0" w:right="-20" w:firstLine="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надійність і безпеку робочих місць, машин, обладнання та процесів, які перебувають під їхнім контролем;</w:t>
      </w:r>
    </w:p>
    <w:p w14:paraId="0000004E" w14:textId="77777777" w:rsidR="00BA19AA" w:rsidRDefault="005166B4">
      <w:pPr>
        <w:widowControl w:val="0"/>
        <w:numPr>
          <w:ilvl w:val="0"/>
          <w:numId w:val="1"/>
        </w:numPr>
        <w:pBdr>
          <w:top w:val="nil"/>
          <w:left w:val="nil"/>
          <w:bottom w:val="nil"/>
          <w:right w:val="nil"/>
          <w:between w:val="nil"/>
        </w:pBdr>
        <w:tabs>
          <w:tab w:val="left" w:pos="284"/>
        </w:tabs>
        <w:spacing w:after="0" w:line="240" w:lineRule="auto"/>
        <w:ind w:left="0" w:right="-20" w:firstLine="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безпеку для здоров'я, за умови застосування належних захисних заходів, хімічних, фізичних і біологічних речовин і агентів, що знаходяться під їхнім контролем; </w:t>
      </w:r>
    </w:p>
    <w:p w14:paraId="0000004F" w14:textId="77777777" w:rsidR="00BA19AA" w:rsidRDefault="005166B4">
      <w:pPr>
        <w:widowControl w:val="0"/>
        <w:numPr>
          <w:ilvl w:val="0"/>
          <w:numId w:val="1"/>
        </w:numPr>
        <w:pBdr>
          <w:top w:val="nil"/>
          <w:left w:val="nil"/>
          <w:bottom w:val="nil"/>
          <w:right w:val="nil"/>
          <w:between w:val="nil"/>
        </w:pBdr>
        <w:tabs>
          <w:tab w:val="left" w:pos="284"/>
        </w:tabs>
        <w:spacing w:line="240" w:lineRule="auto"/>
        <w:ind w:left="0" w:right="-20" w:firstLine="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надання, у разі необхідності, належного захисного одягу і захисного спорядження для запобігання, наскільки це практично можливо у межах доцільності, ризику виникнення нещасних випадків або несприятливих наслідків для здоров’я.</w:t>
      </w:r>
    </w:p>
    <w:p w14:paraId="00000051" w14:textId="77777777" w:rsidR="00BA19AA" w:rsidRDefault="005166B4">
      <w:pPr>
        <w:widowControl w:val="0"/>
        <w:spacing w:line="240" w:lineRule="auto"/>
        <w:ind w:right="-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ПРАВА ЛЮДИНИ</w:t>
      </w:r>
    </w:p>
    <w:p w14:paraId="00000052" w14:textId="5422338D" w:rsidR="00BA19AA" w:rsidRDefault="005166B4">
      <w:pPr>
        <w:tabs>
          <w:tab w:val="left" w:pos="42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w:t>
      </w:r>
      <w:r>
        <w:rPr>
          <w:rFonts w:ascii="Times New Roman" w:eastAsia="Times New Roman" w:hAnsi="Times New Roman" w:cs="Times New Roman"/>
          <w:b/>
          <w:sz w:val="24"/>
          <w:szCs w:val="24"/>
        </w:rPr>
        <w:tab/>
        <w:t>Права людини:</w:t>
      </w:r>
      <w:r>
        <w:rPr>
          <w:rFonts w:ascii="Times New Roman" w:eastAsia="Times New Roman" w:hAnsi="Times New Roman" w:cs="Times New Roman"/>
          <w:sz w:val="24"/>
          <w:szCs w:val="24"/>
        </w:rPr>
        <w:t xml:space="preserve"> ГО «</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 очікує від своїх постачальників підтримки і дотримання проголошених на міжнародному рівні прав людини, а також гарантій того, що вони не беруть участі у порушенні прав людини.</w:t>
      </w:r>
    </w:p>
    <w:p w14:paraId="00000053" w14:textId="77777777" w:rsidR="00BA19AA" w:rsidRPr="00DF6FCE" w:rsidRDefault="00BA19AA">
      <w:pPr>
        <w:tabs>
          <w:tab w:val="left" w:pos="426"/>
        </w:tabs>
        <w:spacing w:after="0" w:line="240" w:lineRule="auto"/>
        <w:jc w:val="both"/>
        <w:rPr>
          <w:rFonts w:ascii="Times New Roman" w:eastAsia="Times New Roman" w:hAnsi="Times New Roman" w:cs="Times New Roman"/>
          <w:sz w:val="12"/>
          <w:szCs w:val="12"/>
        </w:rPr>
      </w:pPr>
    </w:p>
    <w:p w14:paraId="00000054" w14:textId="2174801A" w:rsidR="00BA19AA" w:rsidRDefault="005166B4">
      <w:pPr>
        <w:tabs>
          <w:tab w:val="left" w:pos="42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w:t>
      </w:r>
      <w:r>
        <w:rPr>
          <w:rFonts w:ascii="Times New Roman" w:eastAsia="Times New Roman" w:hAnsi="Times New Roman" w:cs="Times New Roman"/>
          <w:b/>
          <w:sz w:val="24"/>
          <w:szCs w:val="24"/>
        </w:rPr>
        <w:tab/>
        <w:t>Переслідування, жорстоке або нелюдське поводження:</w:t>
      </w:r>
      <w:r>
        <w:rPr>
          <w:rFonts w:ascii="Times New Roman" w:eastAsia="Times New Roman" w:hAnsi="Times New Roman" w:cs="Times New Roman"/>
          <w:sz w:val="24"/>
          <w:szCs w:val="24"/>
        </w:rPr>
        <w:t xml:space="preserve"> ГО «</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 xml:space="preserve">» очікує, що постачальники </w:t>
      </w:r>
      <w:proofErr w:type="spellStart"/>
      <w:r>
        <w:rPr>
          <w:rFonts w:ascii="Times New Roman" w:eastAsia="Times New Roman" w:hAnsi="Times New Roman" w:cs="Times New Roman"/>
          <w:sz w:val="24"/>
          <w:szCs w:val="24"/>
        </w:rPr>
        <w:t>створять</w:t>
      </w:r>
      <w:proofErr w:type="spellEnd"/>
      <w:r>
        <w:rPr>
          <w:rFonts w:ascii="Times New Roman" w:eastAsia="Times New Roman" w:hAnsi="Times New Roman" w:cs="Times New Roman"/>
          <w:sz w:val="24"/>
          <w:szCs w:val="24"/>
        </w:rPr>
        <w:t xml:space="preserve"> і будуть підтримувати обставини, в яких всім працівникам </w:t>
      </w:r>
      <w:r>
        <w:rPr>
          <w:rFonts w:ascii="Times New Roman" w:eastAsia="Times New Roman" w:hAnsi="Times New Roman" w:cs="Times New Roman"/>
          <w:sz w:val="24"/>
          <w:szCs w:val="24"/>
        </w:rPr>
        <w:lastRenderedPageBreak/>
        <w:t>гарантується гідність і повага. ГО «</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 очікує, що її постачальники, їхні материнські і дочірні компанії та філії, а також субпідрядники не вдаватимуться та не братимуть участь і не дозволятимуть своїм працівникам чи іншим залученим ними особам застосовувати чи брати участь у будь-яких: загрозах насильства, вербальному чи психологічному залякуванні чи зловживанні та / або сексуальних зловживаннях та експлуатації. Сексуальна експлуатація та зловживання порушують загальновизнані міжнародні правові норми та стандарти і є неприйнятною та забороненою поведінкою для ГО «</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 Перед укладенням договору з ГО «</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 xml:space="preserve">» постачальники інформуються про стандарти поведінки щодо заборони сексуальної експлуатації та зловживань. Такі стандарти включають в себе, але не обмежуються цим: </w:t>
      </w:r>
    </w:p>
    <w:p w14:paraId="00000055" w14:textId="77777777" w:rsidR="00BA19AA" w:rsidRDefault="005166B4">
      <w:pPr>
        <w:numPr>
          <w:ilvl w:val="0"/>
          <w:numId w:val="1"/>
        </w:numPr>
        <w:pBdr>
          <w:top w:val="nil"/>
          <w:left w:val="nil"/>
          <w:bottom w:val="nil"/>
          <w:right w:val="nil"/>
          <w:between w:val="nil"/>
        </w:pBdr>
        <w:tabs>
          <w:tab w:val="left" w:pos="284"/>
          <w:tab w:val="left" w:pos="426"/>
        </w:tabs>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заборона будь-якої сексуальної діяльності з будь-якою особою, яка не досягла 18 років, незалежно від законів що визначають повноліття чи надання згоди;</w:t>
      </w:r>
    </w:p>
    <w:p w14:paraId="00000056" w14:textId="77777777" w:rsidR="00BA19AA" w:rsidRDefault="005166B4">
      <w:pPr>
        <w:numPr>
          <w:ilvl w:val="0"/>
          <w:numId w:val="1"/>
        </w:numPr>
        <w:pBdr>
          <w:top w:val="nil"/>
          <w:left w:val="nil"/>
          <w:bottom w:val="nil"/>
          <w:right w:val="nil"/>
          <w:between w:val="nil"/>
        </w:pBdr>
        <w:tabs>
          <w:tab w:val="left" w:pos="284"/>
          <w:tab w:val="left" w:pos="426"/>
        </w:tabs>
        <w:spacing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обміну грошей, працевлаштування, товарів, послуг чи інших цінностей на секс та / або залучення до будь-якої сексуальної діяльності, яка експлуатує або принижує гідність людини.   </w:t>
      </w:r>
    </w:p>
    <w:p w14:paraId="00000057" w14:textId="2890F377" w:rsidR="00BA19AA" w:rsidRDefault="005166B4">
      <w:pPr>
        <w:tabs>
          <w:tab w:val="left" w:pos="42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 «</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 очікує, що її постачальники вживатимуть усіх належних заходів, щоб заборонити своїм працівникам чи субпідрядникам вдаватися до сексуальної експлуатації та зловживання. ГО «</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 також очікує від своїх постачальників створення та підтримання середовища, що запобігає сексуальній експлуатації та зловживанням. Відмова постачальника вживати запобіжних заходів проти сексуальної експлуатації чи жорстокого поводження, розслідувати звинувачення у цьому чи вживати коригувальних заходів у разі сексуальної експлуатації чи жорстокого поводження є підставою для припинення будь-якої угоди з ГО «</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 Більше того, не допускається будь-яке жорстоке або нелюдське поводження, примус або тілесні покарання і загроза такого поводження.</w:t>
      </w:r>
    </w:p>
    <w:p w14:paraId="00000058" w14:textId="29966E0E" w:rsidR="00BA19AA" w:rsidRDefault="005166B4">
      <w:pPr>
        <w:tabs>
          <w:tab w:val="left" w:pos="42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12.</w:t>
      </w:r>
      <w:r>
        <w:rPr>
          <w:rFonts w:ascii="Times New Roman" w:eastAsia="Times New Roman" w:hAnsi="Times New Roman" w:cs="Times New Roman"/>
          <w:b/>
          <w:sz w:val="24"/>
          <w:szCs w:val="24"/>
        </w:rPr>
        <w:tab/>
        <w:t>Міни:</w:t>
      </w:r>
      <w:r>
        <w:rPr>
          <w:rFonts w:ascii="Times New Roman" w:eastAsia="Times New Roman" w:hAnsi="Times New Roman" w:cs="Times New Roman"/>
          <w:sz w:val="24"/>
          <w:szCs w:val="24"/>
        </w:rPr>
        <w:t xml:space="preserve"> ГО «</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 очікує, що постачальники не братимуть участі у продажу або виробництві протипіхотних мін або компонентів, які використовуються у виробництві протипіхотних мін.</w:t>
      </w:r>
    </w:p>
    <w:p w14:paraId="0000005A" w14:textId="77777777" w:rsidR="00BA19AA" w:rsidRDefault="005166B4">
      <w:pPr>
        <w:widowControl w:val="0"/>
        <w:spacing w:before="120" w:after="12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sz w:val="24"/>
          <w:szCs w:val="24"/>
        </w:rPr>
        <w:t>ДОВКІЛЛЯ</w:t>
      </w:r>
    </w:p>
    <w:p w14:paraId="0000005B" w14:textId="6C6FE536" w:rsidR="00BA19AA" w:rsidRDefault="005166B4">
      <w:pPr>
        <w:tabs>
          <w:tab w:val="left" w:pos="42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13.</w:t>
      </w:r>
      <w:r>
        <w:rPr>
          <w:rFonts w:ascii="Times New Roman" w:eastAsia="Times New Roman" w:hAnsi="Times New Roman" w:cs="Times New Roman"/>
          <w:b/>
          <w:sz w:val="24"/>
          <w:szCs w:val="24"/>
        </w:rPr>
        <w:tab/>
        <w:t>Навколишнє середовище:</w:t>
      </w:r>
      <w:r>
        <w:rPr>
          <w:rFonts w:ascii="Times New Roman" w:eastAsia="Times New Roman" w:hAnsi="Times New Roman" w:cs="Times New Roman"/>
          <w:sz w:val="24"/>
          <w:szCs w:val="24"/>
        </w:rPr>
        <w:t xml:space="preserve"> ГО «</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 сподівається, що її постачальники дотримуються ефективної природоохоронної політики і, що вони будуть дотримуватися чинного законодавства та норм щодо охорони навколишнього середовища. Коли це можливо постачальникам слід застосовувати попереджувальний підхід до екологічних питань, здійснювати ініціативи, що сприяють підвищенню екологічної відповідальності, впроваджувати технології, що сприяють збереженню навколишнього середовища та застосовувати раціональні методи реалізації життєвого циклу продукції.</w:t>
      </w:r>
    </w:p>
    <w:p w14:paraId="0000005C" w14:textId="77777777" w:rsidR="00BA19AA" w:rsidRPr="00DF6FCE" w:rsidRDefault="00BA19AA">
      <w:pPr>
        <w:spacing w:after="0" w:line="240" w:lineRule="auto"/>
        <w:jc w:val="both"/>
        <w:rPr>
          <w:rFonts w:ascii="Times New Roman" w:eastAsia="Times New Roman" w:hAnsi="Times New Roman" w:cs="Times New Roman"/>
          <w:b/>
          <w:sz w:val="12"/>
          <w:szCs w:val="12"/>
        </w:rPr>
      </w:pPr>
    </w:p>
    <w:p w14:paraId="0000005D" w14:textId="77777777" w:rsidR="00BA19AA" w:rsidRDefault="005166B4">
      <w:pPr>
        <w:tabs>
          <w:tab w:val="left" w:pos="42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14.</w:t>
      </w:r>
      <w:r>
        <w:rPr>
          <w:rFonts w:ascii="Times New Roman" w:eastAsia="Times New Roman" w:hAnsi="Times New Roman" w:cs="Times New Roman"/>
          <w:b/>
          <w:sz w:val="24"/>
          <w:szCs w:val="24"/>
        </w:rPr>
        <w:tab/>
        <w:t>Хімічні та небезпечні матеріали:</w:t>
      </w:r>
      <w:r>
        <w:rPr>
          <w:rFonts w:ascii="Times New Roman" w:eastAsia="Times New Roman" w:hAnsi="Times New Roman" w:cs="Times New Roman"/>
          <w:sz w:val="24"/>
          <w:szCs w:val="24"/>
        </w:rPr>
        <w:t xml:space="preserve"> хімічні матеріали та інші матеріали, які становлять небезпеку для навколишнього середовища, необхідно ідентифікувати і управляти їхнім застосуванням, з тим щоб забезпечити їхнє безпечне використання, переміщення, переробку, вторинне використання і утилізацію.</w:t>
      </w:r>
    </w:p>
    <w:p w14:paraId="0000005E" w14:textId="77777777" w:rsidR="00BA19AA" w:rsidRPr="00DF6FCE" w:rsidRDefault="00BA19AA">
      <w:pPr>
        <w:spacing w:after="0" w:line="240" w:lineRule="auto"/>
        <w:jc w:val="both"/>
        <w:rPr>
          <w:rFonts w:ascii="Times New Roman" w:eastAsia="Times New Roman" w:hAnsi="Times New Roman" w:cs="Times New Roman"/>
          <w:sz w:val="12"/>
          <w:szCs w:val="12"/>
        </w:rPr>
      </w:pPr>
    </w:p>
    <w:p w14:paraId="0000005F" w14:textId="77777777" w:rsidR="00BA19AA" w:rsidRDefault="005166B4">
      <w:pPr>
        <w:tabs>
          <w:tab w:val="left" w:pos="42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15.</w:t>
      </w:r>
      <w:r>
        <w:rPr>
          <w:rFonts w:ascii="Times New Roman" w:eastAsia="Times New Roman" w:hAnsi="Times New Roman" w:cs="Times New Roman"/>
          <w:b/>
          <w:sz w:val="24"/>
          <w:szCs w:val="24"/>
        </w:rPr>
        <w:tab/>
        <w:t>Стічні води і тверді відходи:</w:t>
      </w:r>
      <w:r>
        <w:rPr>
          <w:rFonts w:ascii="Times New Roman" w:eastAsia="Times New Roman" w:hAnsi="Times New Roman" w:cs="Times New Roman"/>
          <w:sz w:val="24"/>
          <w:szCs w:val="24"/>
        </w:rPr>
        <w:t xml:space="preserve"> стічні води і тверді відходи, які є похідними операцій, промислових процесів і діяльності очисних споруд, підлягають нагляду, контролю і відповідній обробці перед скиданням або знищенням.</w:t>
      </w:r>
    </w:p>
    <w:p w14:paraId="00000060" w14:textId="77777777" w:rsidR="00BA19AA" w:rsidRPr="00DF6FCE" w:rsidRDefault="00BA19AA">
      <w:pPr>
        <w:spacing w:after="0" w:line="240" w:lineRule="auto"/>
        <w:jc w:val="both"/>
        <w:rPr>
          <w:rFonts w:ascii="Times New Roman" w:eastAsia="Times New Roman" w:hAnsi="Times New Roman" w:cs="Times New Roman"/>
          <w:sz w:val="12"/>
          <w:szCs w:val="12"/>
        </w:rPr>
      </w:pPr>
    </w:p>
    <w:p w14:paraId="00000061" w14:textId="77777777" w:rsidR="00BA19AA" w:rsidRDefault="005166B4">
      <w:pPr>
        <w:tabs>
          <w:tab w:val="left" w:pos="42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16.</w:t>
      </w:r>
      <w:r>
        <w:rPr>
          <w:rFonts w:ascii="Times New Roman" w:eastAsia="Times New Roman" w:hAnsi="Times New Roman" w:cs="Times New Roman"/>
          <w:b/>
          <w:sz w:val="24"/>
          <w:szCs w:val="24"/>
        </w:rPr>
        <w:tab/>
        <w:t>Забруднення повітря</w:t>
      </w:r>
      <w:r>
        <w:rPr>
          <w:rFonts w:ascii="Times New Roman" w:eastAsia="Times New Roman" w:hAnsi="Times New Roman" w:cs="Times New Roman"/>
          <w:sz w:val="24"/>
          <w:szCs w:val="24"/>
        </w:rPr>
        <w:t xml:space="preserve">: викиди в атмосферу летких органічних хімічних </w:t>
      </w:r>
      <w:proofErr w:type="spellStart"/>
      <w:r>
        <w:rPr>
          <w:rFonts w:ascii="Times New Roman" w:eastAsia="Times New Roman" w:hAnsi="Times New Roman" w:cs="Times New Roman"/>
          <w:sz w:val="24"/>
          <w:szCs w:val="24"/>
        </w:rPr>
        <w:t>сполук</w:t>
      </w:r>
      <w:proofErr w:type="spellEnd"/>
      <w:r>
        <w:rPr>
          <w:rFonts w:ascii="Times New Roman" w:eastAsia="Times New Roman" w:hAnsi="Times New Roman" w:cs="Times New Roman"/>
          <w:sz w:val="24"/>
          <w:szCs w:val="24"/>
        </w:rPr>
        <w:t>, аерозолів, кородуючих речовин, твердих частинок, що виснажують озоновий шар, хімічних речовин і побічних продуктів горіння, які є наслідком операцій, підлягають класифікації, нагляду, контролю та відповідній обробці перед емісією або знищенням.</w:t>
      </w:r>
    </w:p>
    <w:p w14:paraId="00000062" w14:textId="77777777" w:rsidR="00BA19AA" w:rsidRPr="00DF6FCE" w:rsidRDefault="00BA19AA">
      <w:pPr>
        <w:tabs>
          <w:tab w:val="left" w:pos="426"/>
        </w:tabs>
        <w:spacing w:after="0" w:line="240" w:lineRule="auto"/>
        <w:jc w:val="both"/>
        <w:rPr>
          <w:rFonts w:ascii="Times New Roman" w:eastAsia="Times New Roman" w:hAnsi="Times New Roman" w:cs="Times New Roman"/>
          <w:sz w:val="12"/>
          <w:szCs w:val="12"/>
        </w:rPr>
      </w:pPr>
    </w:p>
    <w:p w14:paraId="39226DF7" w14:textId="77777777" w:rsidR="001406F8" w:rsidRDefault="005166B4" w:rsidP="001406F8">
      <w:pPr>
        <w:tabs>
          <w:tab w:val="left" w:pos="42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17.</w:t>
      </w:r>
      <w:r>
        <w:rPr>
          <w:rFonts w:ascii="Times New Roman" w:eastAsia="Times New Roman" w:hAnsi="Times New Roman" w:cs="Times New Roman"/>
          <w:b/>
          <w:sz w:val="24"/>
          <w:szCs w:val="24"/>
        </w:rPr>
        <w:tab/>
        <w:t>Мінімізація відходів</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максимальна утилізація:</w:t>
      </w:r>
      <w:r>
        <w:rPr>
          <w:rFonts w:ascii="Times New Roman" w:eastAsia="Times New Roman" w:hAnsi="Times New Roman" w:cs="Times New Roman"/>
          <w:sz w:val="24"/>
          <w:szCs w:val="24"/>
        </w:rPr>
        <w:t xml:space="preserve"> відходи всіх видів, у тому числі водні та енергетичні, підлягають скороченню або ліквідації у джерелі або за допомогою таких методів, </w:t>
      </w:r>
      <w:r>
        <w:rPr>
          <w:rFonts w:ascii="Times New Roman" w:eastAsia="Times New Roman" w:hAnsi="Times New Roman" w:cs="Times New Roman"/>
          <w:sz w:val="24"/>
          <w:szCs w:val="24"/>
        </w:rPr>
        <w:lastRenderedPageBreak/>
        <w:t>як модифікація виробництва, процесів матеріально-технічного забезпечення та експлуатації об'єктів, заміна матеріалів, економне використання ресурсів, утилізація та вторинне використання матеріалів.</w:t>
      </w:r>
    </w:p>
    <w:p w14:paraId="29ACE5C1" w14:textId="77777777" w:rsidR="001406F8" w:rsidRPr="001406F8" w:rsidRDefault="001406F8" w:rsidP="001406F8">
      <w:pPr>
        <w:tabs>
          <w:tab w:val="left" w:pos="426"/>
        </w:tabs>
        <w:spacing w:after="0" w:line="240" w:lineRule="auto"/>
        <w:jc w:val="both"/>
        <w:rPr>
          <w:rFonts w:ascii="Times New Roman" w:eastAsia="Times New Roman" w:hAnsi="Times New Roman" w:cs="Times New Roman"/>
          <w:sz w:val="12"/>
          <w:szCs w:val="12"/>
        </w:rPr>
      </w:pPr>
    </w:p>
    <w:p w14:paraId="00000065" w14:textId="78E16E8D" w:rsidR="00BA19AA" w:rsidRDefault="005166B4" w:rsidP="001406F8">
      <w:pPr>
        <w:tabs>
          <w:tab w:val="left" w:pos="42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ПРОФЕСІЙНА ЕТИКА</w:t>
      </w:r>
    </w:p>
    <w:p w14:paraId="00000066" w14:textId="77777777" w:rsidR="00BA19AA" w:rsidRPr="00DF6FCE" w:rsidRDefault="00BA19AA">
      <w:pPr>
        <w:spacing w:after="0" w:line="240" w:lineRule="auto"/>
        <w:jc w:val="both"/>
        <w:rPr>
          <w:rFonts w:ascii="Times New Roman" w:eastAsia="Times New Roman" w:hAnsi="Times New Roman" w:cs="Times New Roman"/>
          <w:sz w:val="12"/>
          <w:szCs w:val="12"/>
        </w:rPr>
      </w:pPr>
    </w:p>
    <w:p w14:paraId="00000067" w14:textId="2CBE6263" w:rsidR="00BA19AA" w:rsidRDefault="005166B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18. Корупція:</w:t>
      </w:r>
      <w:r>
        <w:rPr>
          <w:rFonts w:ascii="Times New Roman" w:eastAsia="Times New Roman" w:hAnsi="Times New Roman" w:cs="Times New Roman"/>
          <w:sz w:val="24"/>
          <w:szCs w:val="24"/>
        </w:rPr>
        <w:t xml:space="preserve"> ГО «</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 очікує, що постачальники будуть дотримуватись найвищих стандартів поведінки в моральному та етичному плані, дотримуватися місцевих законів і не вдаватимуться до будь-яких форм корупції, у тому числі, вимагання, шахрайства або підкупу.</w:t>
      </w:r>
    </w:p>
    <w:p w14:paraId="00000068" w14:textId="77777777" w:rsidR="00BA19AA" w:rsidRPr="00DF6FCE" w:rsidRDefault="00BA19AA">
      <w:pPr>
        <w:spacing w:after="0" w:line="240" w:lineRule="auto"/>
        <w:jc w:val="both"/>
        <w:rPr>
          <w:rFonts w:ascii="Times New Roman" w:eastAsia="Times New Roman" w:hAnsi="Times New Roman" w:cs="Times New Roman"/>
          <w:sz w:val="12"/>
          <w:szCs w:val="12"/>
        </w:rPr>
      </w:pPr>
    </w:p>
    <w:p w14:paraId="00000069" w14:textId="33691F9F" w:rsidR="00BA19AA" w:rsidRDefault="005166B4">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19. Конфлікт інтересів:</w:t>
      </w:r>
      <w:r>
        <w:rPr>
          <w:rFonts w:ascii="Times New Roman" w:eastAsia="Times New Roman" w:hAnsi="Times New Roman" w:cs="Times New Roman"/>
          <w:sz w:val="24"/>
          <w:szCs w:val="24"/>
        </w:rPr>
        <w:t xml:space="preserve"> Передбачається, що постачальники ГО «</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 сповіщатимуть ГО «</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 про всі ситуації, які можуть бути пов’язані з конфліктом інтересів, інформувати ГО «</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 якщо будь-який співробітник, член ГО «</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 член Керівної ради ГО «</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 волонтер або надавач послуг ГО «</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 xml:space="preserve">», може мати будь-які економічні зв’язки або іншу зацікавленість пов’язану з діяльністю постачальника. </w:t>
      </w:r>
    </w:p>
    <w:p w14:paraId="0000006A" w14:textId="5574AE2A" w:rsidR="00BA19AA" w:rsidRDefault="005166B4">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20. Подарунки та гостинність</w:t>
      </w:r>
      <w:r>
        <w:rPr>
          <w:rFonts w:ascii="Times New Roman" w:eastAsia="Times New Roman" w:hAnsi="Times New Roman" w:cs="Times New Roman"/>
          <w:sz w:val="24"/>
          <w:szCs w:val="24"/>
        </w:rPr>
        <w:t>: ГО «</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 дотримується політики абсолютної нетерпимості і не приймає будь-якого роду подарунків та пропозицій гостинності. ГО «</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 не приймає запрошень на спортивні та культурні заходи або інші розважальні поїздки, запрошень на обід або вечерю. ГО «</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 очікує, що постачальники не пропонуватимуть будь-яких пільг, таких як безкоштовні товари або послуги, можливості працевлаштування або здійснення продажів, співробітникам, посадовим особам або надавачам послуг ГО «</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 з метою полегшення ведення справ з ГО «</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w:t>
      </w:r>
    </w:p>
    <w:p w14:paraId="0000006B" w14:textId="56BC6664" w:rsidR="00BA19AA" w:rsidRDefault="005166B4">
      <w:pPr>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21.</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Обмеження по закінченні трудової або договірної діяльності:</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обмеження по закінченні трудової або договірної діяльності можуть застосовуватися до діючих співробітників або надавачів послуг </w:t>
      </w:r>
      <w:r>
        <w:rPr>
          <w:rFonts w:ascii="Times New Roman" w:eastAsia="Times New Roman" w:hAnsi="Times New Roman" w:cs="Times New Roman"/>
          <w:sz w:val="24"/>
          <w:szCs w:val="24"/>
        </w:rPr>
        <w:t>ГО «</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і до колишніх співробітників </w:t>
      </w:r>
      <w:r>
        <w:rPr>
          <w:rFonts w:ascii="Times New Roman" w:eastAsia="Times New Roman" w:hAnsi="Times New Roman" w:cs="Times New Roman"/>
          <w:sz w:val="24"/>
          <w:szCs w:val="24"/>
        </w:rPr>
        <w:t>або надавачів послуг</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ГО «</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які брали участь в процесі </w:t>
      </w:r>
      <w:proofErr w:type="spellStart"/>
      <w:r>
        <w:rPr>
          <w:rFonts w:ascii="Times New Roman" w:eastAsia="Times New Roman" w:hAnsi="Times New Roman" w:cs="Times New Roman"/>
          <w:color w:val="000000"/>
          <w:sz w:val="24"/>
          <w:szCs w:val="24"/>
        </w:rPr>
        <w:t>закупівель</w:t>
      </w:r>
      <w:proofErr w:type="spellEnd"/>
      <w:r>
        <w:rPr>
          <w:rFonts w:ascii="Times New Roman" w:eastAsia="Times New Roman" w:hAnsi="Times New Roman" w:cs="Times New Roman"/>
          <w:color w:val="000000"/>
          <w:sz w:val="24"/>
          <w:szCs w:val="24"/>
        </w:rPr>
        <w:t xml:space="preserve">, якщо такі співробітники або надавачі послуг раніше мали професійні зв’язки з постачальниками. Очікується, що постачальники </w:t>
      </w:r>
      <w:r>
        <w:rPr>
          <w:rFonts w:ascii="Times New Roman" w:eastAsia="Times New Roman" w:hAnsi="Times New Roman" w:cs="Times New Roman"/>
          <w:sz w:val="24"/>
          <w:szCs w:val="24"/>
        </w:rPr>
        <w:t>ГО «</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будуть утримуватися від працевлаштування таких співробітників або надавачів послуг протягом одного року після закінчення ними </w:t>
      </w:r>
      <w:r>
        <w:rPr>
          <w:rFonts w:ascii="Times New Roman" w:eastAsia="Times New Roman" w:hAnsi="Times New Roman" w:cs="Times New Roman"/>
          <w:sz w:val="24"/>
          <w:szCs w:val="24"/>
        </w:rPr>
        <w:t>договірних відносин з ГО «</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p>
    <w:p w14:paraId="14B0F46E" w14:textId="639DDB3A" w:rsidR="003462E3" w:rsidRDefault="003462E3">
      <w:pPr>
        <w:jc w:val="both"/>
        <w:rPr>
          <w:rFonts w:ascii="Times New Roman" w:eastAsia="Times New Roman" w:hAnsi="Times New Roman" w:cs="Times New Roman"/>
          <w:sz w:val="24"/>
          <w:szCs w:val="24"/>
        </w:rPr>
      </w:pPr>
    </w:p>
    <w:p w14:paraId="39F033E9" w14:textId="4F044471" w:rsidR="003462E3" w:rsidRDefault="003462E3">
      <w:pPr>
        <w:jc w:val="both"/>
        <w:rPr>
          <w:rFonts w:ascii="Times New Roman" w:eastAsia="Times New Roman" w:hAnsi="Times New Roman" w:cs="Times New Roman"/>
          <w:sz w:val="24"/>
          <w:szCs w:val="24"/>
        </w:rPr>
      </w:pPr>
    </w:p>
    <w:p w14:paraId="71C271DF" w14:textId="7E8884D7" w:rsidR="003462E3" w:rsidRDefault="003462E3">
      <w:pPr>
        <w:jc w:val="both"/>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Ознайомлений</w:t>
      </w:r>
      <w:proofErr w:type="spellEnd"/>
      <w:r>
        <w:rPr>
          <w:rFonts w:ascii="Times New Roman" w:eastAsia="Times New Roman" w:hAnsi="Times New Roman" w:cs="Times New Roman"/>
          <w:sz w:val="24"/>
          <w:szCs w:val="24"/>
          <w:lang w:val="ru-RU"/>
        </w:rPr>
        <w:t>:</w:t>
      </w:r>
    </w:p>
    <w:p w14:paraId="565D16F4" w14:textId="4C466961" w:rsidR="00F66A05" w:rsidRDefault="00F66A05">
      <w:pPr>
        <w:jc w:val="both"/>
        <w:rPr>
          <w:rFonts w:ascii="Times New Roman" w:eastAsia="Times New Roman" w:hAnsi="Times New Roman" w:cs="Times New Roman"/>
          <w:sz w:val="24"/>
          <w:szCs w:val="24"/>
          <w:lang w:val="ru-RU"/>
        </w:rPr>
      </w:pPr>
    </w:p>
    <w:p w14:paraId="444586CE" w14:textId="3E61F574" w:rsidR="00F66A05" w:rsidRDefault="00F66A05">
      <w:pPr>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Дата:________________</w:t>
      </w:r>
    </w:p>
    <w:p w14:paraId="4F1227B3" w14:textId="1641EC4C" w:rsidR="00F66A05" w:rsidRDefault="00F66A05">
      <w:pPr>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ПІБ, </w:t>
      </w:r>
      <w:proofErr w:type="spellStart"/>
      <w:r>
        <w:rPr>
          <w:rFonts w:ascii="Times New Roman" w:eastAsia="Times New Roman" w:hAnsi="Times New Roman" w:cs="Times New Roman"/>
          <w:sz w:val="24"/>
          <w:szCs w:val="24"/>
          <w:lang w:val="ru-RU"/>
        </w:rPr>
        <w:t>підпис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уповноваженої</w:t>
      </w:r>
      <w:proofErr w:type="spellEnd"/>
      <w:r>
        <w:rPr>
          <w:rFonts w:ascii="Times New Roman" w:eastAsia="Times New Roman" w:hAnsi="Times New Roman" w:cs="Times New Roman"/>
          <w:sz w:val="24"/>
          <w:szCs w:val="24"/>
          <w:lang w:val="ru-RU"/>
        </w:rPr>
        <w:t xml:space="preserve"> особи </w:t>
      </w:r>
      <w:proofErr w:type="spellStart"/>
      <w:r>
        <w:rPr>
          <w:rFonts w:ascii="Times New Roman" w:eastAsia="Times New Roman" w:hAnsi="Times New Roman" w:cs="Times New Roman"/>
          <w:sz w:val="24"/>
          <w:szCs w:val="24"/>
          <w:lang w:val="ru-RU"/>
        </w:rPr>
        <w:t>постачальника</w:t>
      </w:r>
      <w:proofErr w:type="spellEnd"/>
      <w:r>
        <w:rPr>
          <w:rFonts w:ascii="Times New Roman" w:eastAsia="Times New Roman" w:hAnsi="Times New Roman" w:cs="Times New Roman"/>
          <w:sz w:val="24"/>
          <w:szCs w:val="24"/>
          <w:lang w:val="ru-RU"/>
        </w:rPr>
        <w:t>_________________________</w:t>
      </w:r>
    </w:p>
    <w:p w14:paraId="7A12E896" w14:textId="22805B5D" w:rsidR="00F66A05" w:rsidRDefault="00F66A05">
      <w:pPr>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Печатка (за наявності)</w:t>
      </w:r>
    </w:p>
    <w:p w14:paraId="3B43A7BD" w14:textId="77777777" w:rsidR="00F66A05" w:rsidRPr="00F66A05" w:rsidRDefault="00F66A05">
      <w:pPr>
        <w:jc w:val="both"/>
        <w:rPr>
          <w:rFonts w:ascii="Times New Roman" w:eastAsia="Times New Roman" w:hAnsi="Times New Roman" w:cs="Times New Roman"/>
          <w:sz w:val="24"/>
          <w:szCs w:val="24"/>
          <w:lang w:val="ru-RU"/>
        </w:rPr>
      </w:pPr>
    </w:p>
    <w:sectPr w:rsidR="00F66A05" w:rsidRPr="00F66A05" w:rsidSect="008D0B84">
      <w:headerReference w:type="even" r:id="rId8"/>
      <w:headerReference w:type="default" r:id="rId9"/>
      <w:footerReference w:type="even" r:id="rId10"/>
      <w:footerReference w:type="default" r:id="rId11"/>
      <w:headerReference w:type="first" r:id="rId12"/>
      <w:footerReference w:type="first" r:id="rId13"/>
      <w:pgSz w:w="11906" w:h="16838"/>
      <w:pgMar w:top="698" w:right="567"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E3201C" w14:textId="77777777" w:rsidR="004150EB" w:rsidRDefault="004150EB" w:rsidP="00812F20">
      <w:pPr>
        <w:spacing w:after="0" w:line="240" w:lineRule="auto"/>
      </w:pPr>
      <w:r>
        <w:separator/>
      </w:r>
    </w:p>
  </w:endnote>
  <w:endnote w:type="continuationSeparator" w:id="0">
    <w:p w14:paraId="1C8B7F5C" w14:textId="77777777" w:rsidR="004150EB" w:rsidRDefault="004150EB" w:rsidP="00812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E8A79" w14:textId="77777777" w:rsidR="003B4F38" w:rsidRDefault="003B4F3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21D69" w14:textId="77777777" w:rsidR="003B4F38" w:rsidRDefault="003B4F38">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26458" w14:textId="77777777" w:rsidR="003B4F38" w:rsidRDefault="003B4F3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BBDE2F" w14:textId="77777777" w:rsidR="004150EB" w:rsidRDefault="004150EB" w:rsidP="00812F20">
      <w:pPr>
        <w:spacing w:after="0" w:line="240" w:lineRule="auto"/>
      </w:pPr>
      <w:r>
        <w:separator/>
      </w:r>
    </w:p>
  </w:footnote>
  <w:footnote w:type="continuationSeparator" w:id="0">
    <w:p w14:paraId="22C61A69" w14:textId="77777777" w:rsidR="004150EB" w:rsidRDefault="004150EB" w:rsidP="00812F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EDBA8" w14:textId="77777777" w:rsidR="003B4F38" w:rsidRDefault="003B4F38">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3786778"/>
      <w:docPartObj>
        <w:docPartGallery w:val="Page Numbers (Top of Page)"/>
        <w:docPartUnique/>
      </w:docPartObj>
    </w:sdtPr>
    <w:sdtEndPr>
      <w:rPr>
        <w:noProof/>
      </w:rPr>
    </w:sdtEndPr>
    <w:sdtContent>
      <w:p w14:paraId="2D05D5C5" w14:textId="61CF8F2C" w:rsidR="00812F20" w:rsidRDefault="00812F20">
        <w:pPr>
          <w:pStyle w:val="a4"/>
          <w:jc w:val="center"/>
        </w:pPr>
        <w:r>
          <w:fldChar w:fldCharType="begin"/>
        </w:r>
        <w:r>
          <w:instrText xml:space="preserve"> PAGE   \* MERGEFORMAT </w:instrText>
        </w:r>
        <w:r>
          <w:fldChar w:fldCharType="separate"/>
        </w:r>
        <w:r w:rsidR="00740843">
          <w:rPr>
            <w:noProof/>
          </w:rPr>
          <w:t>4</w:t>
        </w:r>
        <w:r>
          <w:rPr>
            <w:noProof/>
          </w:rPr>
          <w:fldChar w:fldCharType="end"/>
        </w:r>
      </w:p>
    </w:sdtContent>
  </w:sdt>
  <w:p w14:paraId="7CE8C22D" w14:textId="77777777" w:rsidR="00812F20" w:rsidRDefault="00812F20">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8A2D3" w14:textId="44A7D649" w:rsidR="00812F20" w:rsidRPr="00BD6AB6" w:rsidRDefault="00701D3D" w:rsidP="00701D3D">
    <w:pPr>
      <w:pStyle w:val="a4"/>
      <w:rPr>
        <w:lang w:val="en-US"/>
      </w:rPr>
    </w:pPr>
    <w:r>
      <w:rPr>
        <w:lang w:val="en-US"/>
      </w:rPr>
      <w:t xml:space="preserve">ITB </w:t>
    </w:r>
    <w:r w:rsidR="00597804" w:rsidRPr="00597804">
      <w:rPr>
        <w:lang w:val="en-US"/>
      </w:rPr>
      <w:t>GNJP-0</w:t>
    </w:r>
    <w:r w:rsidR="003B4F38">
      <w:rPr>
        <w:lang w:val="en-US"/>
      </w:rPr>
      <w:t>2</w:t>
    </w:r>
    <w:r w:rsidR="00597804" w:rsidRPr="00597804">
      <w:rPr>
        <w:lang w:val="en-US"/>
      </w:rPr>
      <w:t>-2025</w:t>
    </w:r>
  </w:p>
  <w:p w14:paraId="22FCEE12" w14:textId="77777777" w:rsidR="00812F20" w:rsidRDefault="00812F2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9F55F7"/>
    <w:multiLevelType w:val="multilevel"/>
    <w:tmpl w:val="782809C6"/>
    <w:lvl w:ilvl="0">
      <w:start w:val="1"/>
      <w:numFmt w:val="decimal"/>
      <w:lvlText w:val="%1."/>
      <w:lvlJc w:val="left"/>
      <w:pPr>
        <w:ind w:left="720" w:hanging="360"/>
      </w:pPr>
      <w:rPr>
        <w:rFonts w:ascii="Times New Roman" w:eastAsia="Times New Roman" w:hAnsi="Times New Roman" w:cs="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08C7674"/>
    <w:multiLevelType w:val="multilevel"/>
    <w:tmpl w:val="2C1A3F88"/>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num w:numId="1" w16cid:durableId="2072195620">
    <w:abstractNumId w:val="1"/>
  </w:num>
  <w:num w:numId="2" w16cid:durableId="1229420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9AA"/>
    <w:rsid w:val="00001835"/>
    <w:rsid w:val="0005788A"/>
    <w:rsid w:val="000A7CDE"/>
    <w:rsid w:val="000F35EF"/>
    <w:rsid w:val="001406F8"/>
    <w:rsid w:val="00234D12"/>
    <w:rsid w:val="002501BB"/>
    <w:rsid w:val="00255DB9"/>
    <w:rsid w:val="002C4893"/>
    <w:rsid w:val="002E16A2"/>
    <w:rsid w:val="003462E3"/>
    <w:rsid w:val="00374013"/>
    <w:rsid w:val="003B4F38"/>
    <w:rsid w:val="003F060A"/>
    <w:rsid w:val="004150EB"/>
    <w:rsid w:val="004220F3"/>
    <w:rsid w:val="0047336C"/>
    <w:rsid w:val="004739A0"/>
    <w:rsid w:val="004A5869"/>
    <w:rsid w:val="004B4F11"/>
    <w:rsid w:val="005166B4"/>
    <w:rsid w:val="00587654"/>
    <w:rsid w:val="00597804"/>
    <w:rsid w:val="00606167"/>
    <w:rsid w:val="00672843"/>
    <w:rsid w:val="006F1F56"/>
    <w:rsid w:val="00701D3D"/>
    <w:rsid w:val="00730028"/>
    <w:rsid w:val="0073017F"/>
    <w:rsid w:val="007337D7"/>
    <w:rsid w:val="00740843"/>
    <w:rsid w:val="00812F20"/>
    <w:rsid w:val="008150FC"/>
    <w:rsid w:val="008230E7"/>
    <w:rsid w:val="00830417"/>
    <w:rsid w:val="008D0B84"/>
    <w:rsid w:val="00916F4E"/>
    <w:rsid w:val="009B33A0"/>
    <w:rsid w:val="009D0416"/>
    <w:rsid w:val="00A234EC"/>
    <w:rsid w:val="00A64A47"/>
    <w:rsid w:val="00B3718E"/>
    <w:rsid w:val="00B57CC6"/>
    <w:rsid w:val="00B67593"/>
    <w:rsid w:val="00B722CF"/>
    <w:rsid w:val="00BA19AA"/>
    <w:rsid w:val="00BD6AB6"/>
    <w:rsid w:val="00C354A1"/>
    <w:rsid w:val="00C55765"/>
    <w:rsid w:val="00C75C93"/>
    <w:rsid w:val="00C954C7"/>
    <w:rsid w:val="00CE1409"/>
    <w:rsid w:val="00CE4B8D"/>
    <w:rsid w:val="00DF6FCE"/>
    <w:rsid w:val="00E54B93"/>
    <w:rsid w:val="00E7332E"/>
    <w:rsid w:val="00E86E58"/>
    <w:rsid w:val="00E959BC"/>
    <w:rsid w:val="00EA6EF9"/>
    <w:rsid w:val="00F66A05"/>
    <w:rsid w:val="00FB1CCF"/>
    <w:rsid w:val="00FD61FB"/>
    <w:rsid w:val="00FE41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3A9279"/>
  <w15:docId w15:val="{D6C94C7C-4FDC-4BF1-826F-DF8588E0B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uk-UA"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C5161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51616"/>
  </w:style>
  <w:style w:type="paragraph" w:styleId="a6">
    <w:name w:val="footer"/>
    <w:basedOn w:val="a"/>
    <w:link w:val="a7"/>
    <w:uiPriority w:val="99"/>
    <w:unhideWhenUsed/>
    <w:rsid w:val="00C5161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51616"/>
  </w:style>
  <w:style w:type="paragraph" w:styleId="a8">
    <w:name w:val="No Spacing"/>
    <w:link w:val="a9"/>
    <w:uiPriority w:val="1"/>
    <w:qFormat/>
    <w:rsid w:val="00266945"/>
    <w:pPr>
      <w:spacing w:after="0" w:line="240" w:lineRule="auto"/>
    </w:pPr>
    <w:rPr>
      <w:rFonts w:eastAsiaTheme="minorEastAsia"/>
      <w:lang w:val="en-US" w:eastAsia="en-US"/>
    </w:rPr>
  </w:style>
  <w:style w:type="character" w:customStyle="1" w:styleId="a9">
    <w:name w:val="Без интервала Знак"/>
    <w:basedOn w:val="a0"/>
    <w:link w:val="a8"/>
    <w:uiPriority w:val="1"/>
    <w:rsid w:val="00266945"/>
    <w:rPr>
      <w:rFonts w:eastAsiaTheme="minorEastAsia"/>
      <w:lang w:val="en-US" w:eastAsia="en-US"/>
    </w:rPr>
  </w:style>
  <w:style w:type="paragraph" w:styleId="aa">
    <w:name w:val="List Paragraph"/>
    <w:basedOn w:val="a"/>
    <w:uiPriority w:val="34"/>
    <w:qFormat/>
    <w:rsid w:val="00844423"/>
    <w:pPr>
      <w:ind w:left="720"/>
      <w:contextualSpacing/>
    </w:pPr>
  </w:style>
  <w:style w:type="paragraph" w:styleId="ab">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VsO9aTZ+QFFC7bj+0T2+WNEgXg==">AMUW2mUqVVrduF4buU9QlBy1+Y644r2NxB158Sx75bjXCMXF/2E86M3tGQeY26JNOVfdbRlDPaNxjzKv0gTkB82lM8WjB7Z6FR07gKnmo1vwfYglspZqgZcgCJ61Rv0t2yuluVOK/e5i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1946</Words>
  <Characters>11093</Characters>
  <Application>Microsoft Office Word</Application>
  <DocSecurity>0</DocSecurity>
  <Lines>92</Lines>
  <Paragraphs>26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Galyna Andriichuk</dc:creator>
  <cp:lastModifiedBy>Yaneva Veta</cp:lastModifiedBy>
  <cp:revision>2</cp:revision>
  <cp:lastPrinted>2023-08-29T12:20:00Z</cp:lastPrinted>
  <dcterms:created xsi:type="dcterms:W3CDTF">2025-08-29T13:07:00Z</dcterms:created>
  <dcterms:modified xsi:type="dcterms:W3CDTF">2025-08-29T13:07:00Z</dcterms:modified>
</cp:coreProperties>
</file>